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AA1B" w14:textId="08A78C2E" w:rsidR="00840807" w:rsidRPr="00F05445" w:rsidRDefault="57280757" w:rsidP="00F05445">
      <w:pPr>
        <w:pStyle w:val="ListParagraph"/>
        <w:spacing w:line="257" w:lineRule="auto"/>
        <w:jc w:val="center"/>
        <w:rPr>
          <w:lang w:val="en-US"/>
        </w:rPr>
      </w:pPr>
      <w:r w:rsidRPr="51D657AE">
        <w:rPr>
          <w:rFonts w:ascii="Aptos" w:eastAsia="Aptos" w:hAnsi="Aptos" w:cs="Aptos"/>
          <w:b/>
          <w:bCs/>
          <w:lang w:val="en-GB"/>
        </w:rPr>
        <w:t>HVS Valve Research Network Meeting</w:t>
      </w:r>
    </w:p>
    <w:p w14:paraId="3EB66C6E" w14:textId="2AC33397" w:rsidR="00840807" w:rsidRPr="00F05445" w:rsidRDefault="57280757" w:rsidP="00F05445">
      <w:pPr>
        <w:spacing w:line="257" w:lineRule="auto"/>
        <w:jc w:val="center"/>
        <w:rPr>
          <w:lang w:val="en-US"/>
        </w:rPr>
      </w:pPr>
      <w:r w:rsidRPr="22183864">
        <w:rPr>
          <w:rFonts w:ascii="Aptos" w:eastAsia="Aptos" w:hAnsi="Aptos" w:cs="Aptos"/>
          <w:b/>
          <w:bCs/>
          <w:lang w:val="en-GB"/>
        </w:rPr>
        <w:t>19</w:t>
      </w:r>
      <w:r w:rsidRPr="22183864">
        <w:rPr>
          <w:rFonts w:ascii="Aptos" w:eastAsia="Aptos" w:hAnsi="Aptos" w:cs="Aptos"/>
          <w:b/>
          <w:bCs/>
          <w:vertAlign w:val="superscript"/>
          <w:lang w:val="en-GB"/>
        </w:rPr>
        <w:t>th</w:t>
      </w:r>
      <w:r w:rsidRPr="22183864">
        <w:rPr>
          <w:rFonts w:ascii="Aptos" w:eastAsia="Aptos" w:hAnsi="Aptos" w:cs="Aptos"/>
          <w:b/>
          <w:bCs/>
          <w:lang w:val="en-GB"/>
        </w:rPr>
        <w:t xml:space="preserve"> of </w:t>
      </w:r>
      <w:r w:rsidR="02857E4F" w:rsidRPr="22183864">
        <w:rPr>
          <w:rFonts w:ascii="Aptos" w:eastAsia="Aptos" w:hAnsi="Aptos" w:cs="Aptos"/>
          <w:b/>
          <w:bCs/>
          <w:lang w:val="en-GB"/>
        </w:rPr>
        <w:t>April</w:t>
      </w:r>
      <w:r w:rsidRPr="22183864">
        <w:rPr>
          <w:rFonts w:ascii="Aptos" w:eastAsia="Aptos" w:hAnsi="Aptos" w:cs="Aptos"/>
          <w:b/>
          <w:bCs/>
          <w:lang w:val="en-GB"/>
        </w:rPr>
        <w:t xml:space="preserve"> 2025</w:t>
      </w:r>
    </w:p>
    <w:p w14:paraId="1301A0E4" w14:textId="6B72F3BC" w:rsidR="00840807" w:rsidRPr="00F05445" w:rsidRDefault="57280757" w:rsidP="00F05445">
      <w:pPr>
        <w:spacing w:line="257" w:lineRule="auto"/>
        <w:jc w:val="center"/>
        <w:rPr>
          <w:lang w:val="en-US"/>
        </w:rPr>
      </w:pPr>
      <w:r w:rsidRPr="51D657AE">
        <w:rPr>
          <w:rFonts w:ascii="Aptos" w:eastAsia="Aptos" w:hAnsi="Aptos" w:cs="Aptos"/>
          <w:b/>
          <w:bCs/>
          <w:lang w:val="en-GB"/>
        </w:rPr>
        <w:t>Cairo, Egypt</w:t>
      </w:r>
    </w:p>
    <w:p w14:paraId="37ACCC91" w14:textId="3D509990" w:rsidR="00840807" w:rsidRPr="00F05445" w:rsidRDefault="57280757" w:rsidP="51D657AE">
      <w:pPr>
        <w:spacing w:line="257" w:lineRule="auto"/>
        <w:rPr>
          <w:lang w:val="en-US"/>
        </w:rPr>
      </w:pPr>
      <w:r w:rsidRPr="51D657AE">
        <w:rPr>
          <w:rFonts w:ascii="Aptos" w:eastAsia="Aptos" w:hAnsi="Aptos" w:cs="Aptos"/>
          <w:lang w:val="en-GB"/>
        </w:rPr>
        <w:t xml:space="preserve">Attendees: KV (Kevin Veen), DG (Donna de Geest), CV (Carlijn van der Ven), PV (Peter Verbrugghe), RR (Reda </w:t>
      </w:r>
      <w:proofErr w:type="spellStart"/>
      <w:r w:rsidRPr="51D657AE">
        <w:rPr>
          <w:rFonts w:ascii="Aptos" w:eastAsia="Aptos" w:hAnsi="Aptos" w:cs="Aptos"/>
          <w:lang w:val="en-GB"/>
        </w:rPr>
        <w:t>Rhellab</w:t>
      </w:r>
      <w:proofErr w:type="spellEnd"/>
      <w:r w:rsidRPr="51D657AE">
        <w:rPr>
          <w:rFonts w:ascii="Aptos" w:eastAsia="Aptos" w:hAnsi="Aptos" w:cs="Aptos"/>
          <w:lang w:val="en-GB"/>
        </w:rPr>
        <w:t xml:space="preserve">), BA (Bardia Arabkhani), PB (Philippe </w:t>
      </w:r>
      <w:proofErr w:type="spellStart"/>
      <w:r w:rsidRPr="51D657AE">
        <w:rPr>
          <w:rFonts w:ascii="Aptos" w:eastAsia="Aptos" w:hAnsi="Aptos" w:cs="Aptos"/>
          <w:lang w:val="en-GB"/>
        </w:rPr>
        <w:t>Pibarot</w:t>
      </w:r>
      <w:proofErr w:type="spellEnd"/>
      <w:r w:rsidRPr="51D657AE">
        <w:rPr>
          <w:rFonts w:ascii="Aptos" w:eastAsia="Aptos" w:hAnsi="Aptos" w:cs="Aptos"/>
          <w:lang w:val="en-GB"/>
        </w:rPr>
        <w:t>), EG (Evaldas Girdauskas), ET (Elaine Tseng), IEH (Ismail El-</w:t>
      </w:r>
      <w:proofErr w:type="spellStart"/>
      <w:r w:rsidRPr="51D657AE">
        <w:rPr>
          <w:rFonts w:ascii="Aptos" w:eastAsia="Aptos" w:hAnsi="Aptos" w:cs="Aptos"/>
          <w:lang w:val="en-GB"/>
        </w:rPr>
        <w:t>Hamamsy</w:t>
      </w:r>
      <w:proofErr w:type="spellEnd"/>
      <w:r w:rsidRPr="51D657AE">
        <w:rPr>
          <w:rFonts w:ascii="Aptos" w:eastAsia="Aptos" w:hAnsi="Aptos" w:cs="Aptos"/>
          <w:lang w:val="en-GB"/>
        </w:rPr>
        <w:t xml:space="preserve">), LK (Laurent de </w:t>
      </w:r>
      <w:proofErr w:type="spellStart"/>
      <w:r w:rsidRPr="51D657AE">
        <w:rPr>
          <w:rFonts w:ascii="Aptos" w:eastAsia="Aptos" w:hAnsi="Aptos" w:cs="Aptos"/>
          <w:lang w:val="en-GB"/>
        </w:rPr>
        <w:t>Kerchove</w:t>
      </w:r>
      <w:proofErr w:type="spellEnd"/>
      <w:r w:rsidRPr="51D657AE">
        <w:rPr>
          <w:rFonts w:ascii="Aptos" w:eastAsia="Aptos" w:hAnsi="Aptos" w:cs="Aptos"/>
          <w:lang w:val="en-GB"/>
        </w:rPr>
        <w:t>), Wilfried Wisser (WW)</w:t>
      </w:r>
    </w:p>
    <w:p w14:paraId="7EBA78B4" w14:textId="0EC164C7" w:rsidR="00840807" w:rsidRPr="00F05445" w:rsidRDefault="57280757" w:rsidP="51D657AE">
      <w:pPr>
        <w:spacing w:line="257" w:lineRule="auto"/>
        <w:rPr>
          <w:lang w:val="en-US"/>
        </w:rPr>
      </w:pPr>
      <w:r w:rsidRPr="51D657AE">
        <w:rPr>
          <w:rFonts w:ascii="Aptos" w:eastAsia="Aptos" w:hAnsi="Aptos" w:cs="Aptos"/>
          <w:lang w:val="en-GB"/>
        </w:rPr>
        <w:t xml:space="preserve"> </w:t>
      </w:r>
    </w:p>
    <w:p w14:paraId="1769382D" w14:textId="28344B25" w:rsidR="00840807" w:rsidRDefault="57280757" w:rsidP="51D657AE">
      <w:pPr>
        <w:spacing w:line="257" w:lineRule="auto"/>
      </w:pPr>
      <w:r w:rsidRPr="51D657AE">
        <w:rPr>
          <w:rFonts w:ascii="Aptos" w:eastAsia="Aptos" w:hAnsi="Aptos" w:cs="Aptos"/>
          <w:u w:val="single"/>
          <w:lang w:val="en-GB"/>
        </w:rPr>
        <w:t>HVS Aortic Valve Database</w:t>
      </w:r>
    </w:p>
    <w:p w14:paraId="4B8FAD7A" w14:textId="0F6DF815" w:rsidR="00840807" w:rsidRDefault="57280757" w:rsidP="51D657AE">
      <w:pPr>
        <w:pStyle w:val="ListParagraph"/>
        <w:numPr>
          <w:ilvl w:val="0"/>
          <w:numId w:val="3"/>
        </w:numPr>
        <w:spacing w:after="0" w:line="257" w:lineRule="auto"/>
        <w:rPr>
          <w:rFonts w:ascii="Aptos" w:eastAsia="Aptos" w:hAnsi="Aptos" w:cs="Aptos"/>
          <w:b/>
          <w:bCs/>
          <w:lang w:val="en-GB"/>
        </w:rPr>
      </w:pPr>
      <w:r w:rsidRPr="51D657AE">
        <w:rPr>
          <w:rFonts w:ascii="Aptos" w:eastAsia="Aptos" w:hAnsi="Aptos" w:cs="Aptos"/>
          <w:b/>
          <w:bCs/>
          <w:lang w:val="en-GB"/>
        </w:rPr>
        <w:t>Introduction</w:t>
      </w:r>
    </w:p>
    <w:p w14:paraId="785856A3" w14:textId="0771F844" w:rsidR="00840807" w:rsidRDefault="57280757" w:rsidP="51D657AE">
      <w:pPr>
        <w:spacing w:after="0" w:line="257" w:lineRule="auto"/>
        <w:ind w:left="720"/>
      </w:pPr>
      <w:r w:rsidRPr="51D657AE">
        <w:rPr>
          <w:rFonts w:ascii="Aptos" w:eastAsia="Aptos" w:hAnsi="Aptos" w:cs="Aptos"/>
          <w:b/>
          <w:bCs/>
          <w:lang w:val="en-GB"/>
        </w:rPr>
        <w:t xml:space="preserve"> </w:t>
      </w:r>
    </w:p>
    <w:p w14:paraId="31B42086" w14:textId="5DDEE21B" w:rsidR="00840807" w:rsidRDefault="57280757" w:rsidP="51D657AE">
      <w:pPr>
        <w:pStyle w:val="ListParagraph"/>
        <w:numPr>
          <w:ilvl w:val="0"/>
          <w:numId w:val="3"/>
        </w:numPr>
        <w:spacing w:after="0" w:line="257" w:lineRule="auto"/>
        <w:rPr>
          <w:rFonts w:ascii="Aptos" w:eastAsia="Aptos" w:hAnsi="Aptos" w:cs="Aptos"/>
          <w:b/>
          <w:bCs/>
          <w:lang w:val="en-GB"/>
        </w:rPr>
      </w:pPr>
      <w:r w:rsidRPr="51D657AE">
        <w:rPr>
          <w:rFonts w:ascii="Aptos" w:eastAsia="Aptos" w:hAnsi="Aptos" w:cs="Aptos"/>
          <w:b/>
          <w:bCs/>
          <w:lang w:val="en-GB"/>
        </w:rPr>
        <w:t>Regulatory Update</w:t>
      </w:r>
    </w:p>
    <w:p w14:paraId="7DC7CC27" w14:textId="26863E70" w:rsidR="00840807" w:rsidRDefault="57280757" w:rsidP="51D657AE">
      <w:pPr>
        <w:spacing w:after="0" w:line="257" w:lineRule="auto"/>
        <w:ind w:left="720"/>
      </w:pPr>
      <w:r w:rsidRPr="51D657AE">
        <w:rPr>
          <w:rFonts w:ascii="Aptos" w:eastAsia="Aptos" w:hAnsi="Aptos" w:cs="Aptos"/>
          <w:b/>
          <w:bCs/>
          <w:lang w:val="en-GB"/>
        </w:rPr>
        <w:t xml:space="preserve"> </w:t>
      </w:r>
    </w:p>
    <w:p w14:paraId="6435E4D6" w14:textId="3E44DCA3" w:rsidR="57280757" w:rsidRDefault="57280757" w:rsidP="75F26F9F">
      <w:pPr>
        <w:spacing w:after="0" w:line="257" w:lineRule="auto"/>
        <w:ind w:left="720"/>
        <w:rPr>
          <w:rFonts w:ascii="Aptos" w:eastAsia="Aptos" w:hAnsi="Aptos" w:cs="Aptos"/>
          <w:lang w:val="en-GB"/>
        </w:rPr>
      </w:pPr>
      <w:r w:rsidRPr="75F26F9F">
        <w:rPr>
          <w:rFonts w:ascii="Aptos" w:eastAsia="Aptos" w:hAnsi="Aptos" w:cs="Aptos"/>
          <w:u w:val="single"/>
          <w:lang w:val="en-GB"/>
        </w:rPr>
        <w:t>Discussion of Decision Tree Joint Data Registry Agreement (JDRA)</w:t>
      </w:r>
      <w:r w:rsidRPr="00F05445">
        <w:rPr>
          <w:lang w:val="en-US"/>
        </w:rPr>
        <w:br/>
      </w:r>
      <w:r w:rsidRPr="75F26F9F">
        <w:rPr>
          <w:rFonts w:ascii="Aptos" w:eastAsia="Aptos" w:hAnsi="Aptos" w:cs="Aptos"/>
          <w:lang w:val="en-GB"/>
        </w:rPr>
        <w:t xml:space="preserve"> </w:t>
      </w:r>
      <w:r w:rsidRPr="75F26F9F">
        <w:rPr>
          <w:rFonts w:ascii="Aptos" w:eastAsia="Aptos" w:hAnsi="Aptos" w:cs="Aptos"/>
          <w:i/>
          <w:iCs/>
          <w:lang w:val="en-GB"/>
        </w:rPr>
        <w:t>KV</w:t>
      </w:r>
      <w:r w:rsidRPr="75F26F9F">
        <w:rPr>
          <w:rFonts w:ascii="Aptos" w:eastAsia="Aptos" w:hAnsi="Aptos" w:cs="Aptos"/>
          <w:lang w:val="en-GB"/>
        </w:rPr>
        <w:t xml:space="preserve">: </w:t>
      </w:r>
      <w:r w:rsidR="44227EE4" w:rsidRPr="75F26F9F">
        <w:rPr>
          <w:rFonts w:ascii="Aptos" w:eastAsia="Aptos" w:hAnsi="Aptos" w:cs="Aptos"/>
          <w:lang w:val="en-GB"/>
        </w:rPr>
        <w:t xml:space="preserve">All current JDRA are now signed unamended. However, some JDRA’s are now coming back from Partners with </w:t>
      </w:r>
      <w:r w:rsidR="1F96219E" w:rsidRPr="75F26F9F">
        <w:rPr>
          <w:rFonts w:ascii="Aptos" w:eastAsia="Aptos" w:hAnsi="Aptos" w:cs="Aptos"/>
          <w:lang w:val="en-GB"/>
        </w:rPr>
        <w:t>proposed</w:t>
      </w:r>
      <w:r w:rsidR="15A1128B" w:rsidRPr="75F26F9F">
        <w:rPr>
          <w:rFonts w:ascii="Aptos" w:eastAsia="Aptos" w:hAnsi="Aptos" w:cs="Aptos"/>
          <w:lang w:val="en-GB"/>
        </w:rPr>
        <w:t xml:space="preserve"> changes</w:t>
      </w:r>
      <w:r w:rsidRPr="75F26F9F">
        <w:rPr>
          <w:rFonts w:ascii="Aptos" w:eastAsia="Aptos" w:hAnsi="Aptos" w:cs="Aptos"/>
          <w:lang w:val="en-GB"/>
        </w:rPr>
        <w:t xml:space="preserve">. </w:t>
      </w:r>
      <w:r w:rsidR="61BC7434" w:rsidRPr="75F26F9F">
        <w:rPr>
          <w:rFonts w:ascii="Aptos" w:eastAsia="Aptos" w:hAnsi="Aptos" w:cs="Aptos"/>
          <w:lang w:val="en-GB"/>
        </w:rPr>
        <w:t>It is stressed that changing legal documents</w:t>
      </w:r>
      <w:r w:rsidR="0C2AC270" w:rsidRPr="75F26F9F">
        <w:rPr>
          <w:rFonts w:ascii="Aptos" w:eastAsia="Aptos" w:hAnsi="Aptos" w:cs="Aptos"/>
          <w:lang w:val="en-GB"/>
        </w:rPr>
        <w:t xml:space="preserve"> to </w:t>
      </w:r>
      <w:r w:rsidR="75A3B73D" w:rsidRPr="75F26F9F">
        <w:rPr>
          <w:rFonts w:ascii="Aptos" w:eastAsia="Aptos" w:hAnsi="Aptos" w:cs="Aptos"/>
          <w:lang w:val="en-GB"/>
        </w:rPr>
        <w:t>accommodate</w:t>
      </w:r>
      <w:r w:rsidR="0C2AC270" w:rsidRPr="75F26F9F">
        <w:rPr>
          <w:rFonts w:ascii="Aptos" w:eastAsia="Aptos" w:hAnsi="Aptos" w:cs="Aptos"/>
          <w:lang w:val="en-GB"/>
        </w:rPr>
        <w:t xml:space="preserve"> Partners</w:t>
      </w:r>
      <w:r w:rsidR="61BC7434" w:rsidRPr="75F26F9F">
        <w:rPr>
          <w:rFonts w:ascii="Aptos" w:eastAsia="Aptos" w:hAnsi="Aptos" w:cs="Aptos"/>
          <w:lang w:val="en-GB"/>
        </w:rPr>
        <w:t xml:space="preserve"> is formally the </w:t>
      </w:r>
      <w:r w:rsidR="039AA5F4" w:rsidRPr="75F26F9F">
        <w:rPr>
          <w:rFonts w:ascii="Aptos" w:eastAsia="Aptos" w:hAnsi="Aptos" w:cs="Aptos"/>
          <w:lang w:val="en-GB"/>
        </w:rPr>
        <w:t>responsibility</w:t>
      </w:r>
      <w:r w:rsidR="61BC7434" w:rsidRPr="75F26F9F">
        <w:rPr>
          <w:rFonts w:ascii="Aptos" w:eastAsia="Aptos" w:hAnsi="Aptos" w:cs="Aptos"/>
          <w:lang w:val="en-GB"/>
        </w:rPr>
        <w:t xml:space="preserve"> of the Core Leaders, but that this is not always feasible. The Coordinator (Management Team) is will</w:t>
      </w:r>
      <w:r w:rsidR="0000930F" w:rsidRPr="75F26F9F">
        <w:rPr>
          <w:rFonts w:ascii="Aptos" w:eastAsia="Aptos" w:hAnsi="Aptos" w:cs="Aptos"/>
          <w:lang w:val="en-GB"/>
        </w:rPr>
        <w:t xml:space="preserve">ing </w:t>
      </w:r>
      <w:r w:rsidR="61BC7434" w:rsidRPr="75F26F9F">
        <w:rPr>
          <w:rFonts w:ascii="Aptos" w:eastAsia="Aptos" w:hAnsi="Aptos" w:cs="Aptos"/>
          <w:lang w:val="en-GB"/>
        </w:rPr>
        <w:t xml:space="preserve">to conduct </w:t>
      </w:r>
      <w:r w:rsidR="39C021B5" w:rsidRPr="75F26F9F">
        <w:rPr>
          <w:rFonts w:ascii="Aptos" w:eastAsia="Aptos" w:hAnsi="Aptos" w:cs="Aptos"/>
          <w:lang w:val="en-GB"/>
        </w:rPr>
        <w:t>JDRA questions potential partners may have</w:t>
      </w:r>
      <w:r w:rsidR="2D69436C" w:rsidRPr="75F26F9F">
        <w:rPr>
          <w:rFonts w:ascii="Aptos" w:eastAsia="Aptos" w:hAnsi="Aptos" w:cs="Aptos"/>
          <w:lang w:val="en-GB"/>
        </w:rPr>
        <w:t xml:space="preserve"> on behalf of the Core Leaders</w:t>
      </w:r>
      <w:r w:rsidR="1E31FDF2" w:rsidRPr="75F26F9F">
        <w:rPr>
          <w:rFonts w:ascii="Aptos" w:eastAsia="Aptos" w:hAnsi="Aptos" w:cs="Aptos"/>
          <w:lang w:val="en-GB"/>
        </w:rPr>
        <w:t xml:space="preserve">, </w:t>
      </w:r>
      <w:r w:rsidR="11F34F4F" w:rsidRPr="75F26F9F">
        <w:rPr>
          <w:rFonts w:ascii="Aptos" w:eastAsia="Aptos" w:hAnsi="Aptos" w:cs="Aptos"/>
          <w:lang w:val="en-GB"/>
        </w:rPr>
        <w:t xml:space="preserve">and </w:t>
      </w:r>
      <w:r w:rsidR="5EC2B430" w:rsidRPr="75F26F9F">
        <w:rPr>
          <w:rFonts w:ascii="Aptos" w:eastAsia="Aptos" w:hAnsi="Aptos" w:cs="Aptos"/>
          <w:lang w:val="en-GB"/>
        </w:rPr>
        <w:t>will use</w:t>
      </w:r>
      <w:r w:rsidR="11F34F4F" w:rsidRPr="75F26F9F">
        <w:rPr>
          <w:rFonts w:ascii="Aptos" w:eastAsia="Aptos" w:hAnsi="Aptos" w:cs="Aptos"/>
          <w:lang w:val="en-GB"/>
        </w:rPr>
        <w:t xml:space="preserve"> the escalation structure described below</w:t>
      </w:r>
      <w:r w:rsidR="493C40FA" w:rsidRPr="75F26F9F">
        <w:rPr>
          <w:rFonts w:ascii="Aptos" w:eastAsia="Aptos" w:hAnsi="Aptos" w:cs="Aptos"/>
          <w:lang w:val="en-GB"/>
        </w:rPr>
        <w:t xml:space="preserve"> to notify the appropriate groups when needed</w:t>
      </w:r>
      <w:r w:rsidR="39C021B5" w:rsidRPr="75F26F9F">
        <w:rPr>
          <w:rFonts w:ascii="Aptos" w:eastAsia="Aptos" w:hAnsi="Aptos" w:cs="Aptos"/>
          <w:lang w:val="en-GB"/>
        </w:rPr>
        <w:t xml:space="preserve">. </w:t>
      </w:r>
      <w:r w:rsidR="5EEFEC8C" w:rsidRPr="75F26F9F">
        <w:rPr>
          <w:rFonts w:ascii="Aptos" w:eastAsia="Aptos" w:hAnsi="Aptos" w:cs="Aptos"/>
          <w:lang w:val="en-GB"/>
        </w:rPr>
        <w:t xml:space="preserve">A formal vote is called and with a unanimous decision in favour of the proposed structure. </w:t>
      </w:r>
    </w:p>
    <w:p w14:paraId="0DC146C2" w14:textId="5EBFA4CA" w:rsidR="00840807" w:rsidRDefault="57280757" w:rsidP="7727E9F3">
      <w:pPr>
        <w:spacing w:after="0" w:line="257" w:lineRule="auto"/>
        <w:ind w:left="720"/>
        <w:rPr>
          <w:rFonts w:ascii="Aptos" w:eastAsia="Aptos" w:hAnsi="Aptos" w:cs="Aptos"/>
          <w:b/>
          <w:bCs/>
          <w:lang w:val="en-GB"/>
        </w:rPr>
      </w:pPr>
      <w:r w:rsidRPr="00F05445">
        <w:rPr>
          <w:rFonts w:ascii="Aptos" w:eastAsia="Aptos" w:hAnsi="Aptos" w:cs="Aptos"/>
          <w:lang w:val="en-US"/>
        </w:rPr>
        <w:t xml:space="preserve"> </w:t>
      </w:r>
      <w:r>
        <w:rPr>
          <w:noProof/>
        </w:rPr>
        <w:drawing>
          <wp:inline distT="0" distB="0" distL="0" distR="0" wp14:anchorId="547A2943" wp14:editId="4086DA25">
            <wp:extent cx="4912995" cy="3655502"/>
            <wp:effectExtent l="0" t="0" r="0" b="0"/>
            <wp:docPr id="451259883" name="Afbeelding 2"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8">
                      <a:extLst>
                        <a:ext uri="{28A0092B-C50C-407E-A947-70E740481C1C}">
                          <a14:useLocalDpi xmlns:a14="http://schemas.microsoft.com/office/drawing/2010/main" val="0"/>
                        </a:ext>
                      </a:extLst>
                    </a:blip>
                    <a:stretch>
                      <a:fillRect/>
                    </a:stretch>
                  </pic:blipFill>
                  <pic:spPr>
                    <a:xfrm>
                      <a:off x="0" y="0"/>
                      <a:ext cx="4912995" cy="3655502"/>
                    </a:xfrm>
                    <a:prstGeom prst="rect">
                      <a:avLst/>
                    </a:prstGeom>
                  </pic:spPr>
                </pic:pic>
              </a:graphicData>
            </a:graphic>
          </wp:inline>
        </w:drawing>
      </w:r>
    </w:p>
    <w:p w14:paraId="7E155597" w14:textId="224AA9E4" w:rsidR="00840807" w:rsidRPr="00F05445" w:rsidRDefault="57280757" w:rsidP="51D657AE">
      <w:pPr>
        <w:spacing w:after="0" w:line="257" w:lineRule="auto"/>
        <w:ind w:left="720"/>
        <w:rPr>
          <w:lang w:val="en-US"/>
        </w:rPr>
      </w:pPr>
      <w:r w:rsidRPr="51D657AE">
        <w:rPr>
          <w:rFonts w:ascii="Aptos" w:eastAsia="Aptos" w:hAnsi="Aptos" w:cs="Aptos"/>
          <w:u w:val="single"/>
          <w:lang w:val="en-GB"/>
        </w:rPr>
        <w:t>Instructions for researchers</w:t>
      </w:r>
    </w:p>
    <w:p w14:paraId="0EA979B7" w14:textId="5D63C2AF" w:rsidR="00840807" w:rsidRPr="00F05445" w:rsidRDefault="57280757" w:rsidP="51D657AE">
      <w:pPr>
        <w:spacing w:after="0" w:line="257" w:lineRule="auto"/>
        <w:ind w:left="720"/>
        <w:rPr>
          <w:lang w:val="en-US"/>
        </w:rPr>
      </w:pPr>
      <w:r w:rsidRPr="22183864">
        <w:rPr>
          <w:rFonts w:ascii="Aptos" w:eastAsia="Aptos" w:hAnsi="Aptos" w:cs="Aptos"/>
          <w:i/>
          <w:iCs/>
          <w:lang w:val="en-GB"/>
        </w:rPr>
        <w:t>DG</w:t>
      </w:r>
      <w:r w:rsidRPr="22183864">
        <w:rPr>
          <w:rFonts w:ascii="Aptos" w:eastAsia="Aptos" w:hAnsi="Aptos" w:cs="Aptos"/>
          <w:lang w:val="en-GB"/>
        </w:rPr>
        <w:t xml:space="preserve">: there is now a document in use that includes instructions for researchers using the data from the databases of the VRNs. This document includes practical information regarding management of data access, secure transfer of data, and requirements </w:t>
      </w:r>
      <w:r w:rsidRPr="22183864">
        <w:rPr>
          <w:rFonts w:ascii="Aptos" w:eastAsia="Aptos" w:hAnsi="Aptos" w:cs="Aptos"/>
          <w:lang w:val="en-GB"/>
        </w:rPr>
        <w:lastRenderedPageBreak/>
        <w:t>regarding research output. We thank the core leaders and Scientific Committee (S</w:t>
      </w:r>
      <w:r w:rsidR="1E3C9887" w:rsidRPr="22183864">
        <w:rPr>
          <w:rFonts w:ascii="Aptos" w:eastAsia="Aptos" w:hAnsi="Aptos" w:cs="Aptos"/>
          <w:lang w:val="en-GB"/>
        </w:rPr>
        <w:t>C</w:t>
      </w:r>
      <w:r w:rsidRPr="22183864">
        <w:rPr>
          <w:rFonts w:ascii="Aptos" w:eastAsia="Aptos" w:hAnsi="Aptos" w:cs="Aptos"/>
          <w:lang w:val="en-GB"/>
        </w:rPr>
        <w:t>) for reviewing the document. From now on, this document will be distributed amongst all researchers receiving a data extraction. To be clear: scientific output is ALL output coming from the use of data from the databases. This can be in the form of a manuscript, an abstract for a conference, poster presentation, oral presentation, etc.</w:t>
      </w:r>
    </w:p>
    <w:p w14:paraId="597ABEEB" w14:textId="0C16A4DD" w:rsidR="00840807" w:rsidRPr="00F05445" w:rsidRDefault="57280757" w:rsidP="51D657AE">
      <w:pPr>
        <w:spacing w:after="0" w:line="257" w:lineRule="auto"/>
        <w:ind w:left="720"/>
        <w:rPr>
          <w:lang w:val="en-US"/>
        </w:rPr>
      </w:pPr>
      <w:r w:rsidRPr="51D657AE">
        <w:rPr>
          <w:rFonts w:ascii="Aptos" w:eastAsia="Aptos" w:hAnsi="Aptos" w:cs="Aptos"/>
          <w:lang w:val="en-GB"/>
        </w:rPr>
        <w:t xml:space="preserve"> </w:t>
      </w:r>
    </w:p>
    <w:p w14:paraId="657D10A0" w14:textId="310487B5" w:rsidR="00840807" w:rsidRDefault="57280757" w:rsidP="51D657AE">
      <w:pPr>
        <w:pStyle w:val="ListParagraph"/>
        <w:numPr>
          <w:ilvl w:val="0"/>
          <w:numId w:val="3"/>
        </w:numPr>
        <w:spacing w:after="0" w:line="257" w:lineRule="auto"/>
        <w:rPr>
          <w:rFonts w:ascii="Aptos" w:eastAsia="Aptos" w:hAnsi="Aptos" w:cs="Aptos"/>
          <w:b/>
          <w:bCs/>
          <w:lang w:val="en-GB"/>
        </w:rPr>
      </w:pPr>
      <w:r w:rsidRPr="51D657AE">
        <w:rPr>
          <w:rFonts w:ascii="Aptos" w:eastAsia="Aptos" w:hAnsi="Aptos" w:cs="Aptos"/>
          <w:b/>
          <w:bCs/>
          <w:lang w:val="en-GB"/>
        </w:rPr>
        <w:t>Database Progress</w:t>
      </w:r>
    </w:p>
    <w:p w14:paraId="433618C7" w14:textId="453A2B0F" w:rsidR="00840807" w:rsidRDefault="57280757" w:rsidP="51D657AE">
      <w:pPr>
        <w:spacing w:after="0" w:line="257" w:lineRule="auto"/>
        <w:ind w:left="720"/>
      </w:pPr>
      <w:r w:rsidRPr="51D657AE">
        <w:rPr>
          <w:rFonts w:ascii="Aptos" w:eastAsia="Aptos" w:hAnsi="Aptos" w:cs="Aptos"/>
          <w:b/>
          <w:bCs/>
          <w:lang w:val="en-GB"/>
        </w:rPr>
        <w:t xml:space="preserve"> </w:t>
      </w:r>
    </w:p>
    <w:p w14:paraId="0ED6E803" w14:textId="5C20EBDC" w:rsidR="00840807" w:rsidRDefault="57280757" w:rsidP="51D657AE">
      <w:pPr>
        <w:spacing w:after="0" w:line="257" w:lineRule="auto"/>
        <w:ind w:left="720"/>
      </w:pPr>
      <w:r w:rsidRPr="51D657AE">
        <w:rPr>
          <w:rFonts w:ascii="Aptos" w:eastAsia="Aptos" w:hAnsi="Aptos" w:cs="Aptos"/>
          <w:u w:val="single"/>
          <w:lang w:val="en-GB"/>
        </w:rPr>
        <w:t>Transition Castor</w:t>
      </w:r>
    </w:p>
    <w:p w14:paraId="1F4AAB00" w14:textId="6FFD3714" w:rsidR="00840807" w:rsidRPr="00F05445" w:rsidRDefault="57280757" w:rsidP="51D657AE">
      <w:pPr>
        <w:spacing w:after="0" w:line="257" w:lineRule="auto"/>
        <w:ind w:left="720"/>
        <w:rPr>
          <w:lang w:val="en-US"/>
        </w:rPr>
      </w:pPr>
      <w:r w:rsidRPr="51D657AE">
        <w:rPr>
          <w:rFonts w:ascii="Aptos" w:eastAsia="Aptos" w:hAnsi="Aptos" w:cs="Aptos"/>
          <w:i/>
          <w:iCs/>
          <w:lang w:val="en-GB"/>
        </w:rPr>
        <w:t>CV</w:t>
      </w:r>
      <w:r w:rsidRPr="51D657AE">
        <w:rPr>
          <w:rFonts w:ascii="Aptos" w:eastAsia="Aptos" w:hAnsi="Aptos" w:cs="Aptos"/>
          <w:lang w:val="en-GB"/>
        </w:rPr>
        <w:t xml:space="preserve">: a data quality procedure has been done during the transition of the data from Telemedicine’s </w:t>
      </w:r>
      <w:proofErr w:type="spellStart"/>
      <w:r w:rsidRPr="51D657AE">
        <w:rPr>
          <w:rFonts w:ascii="Aptos" w:eastAsia="Aptos" w:hAnsi="Aptos" w:cs="Aptos"/>
          <w:lang w:val="en-GB"/>
        </w:rPr>
        <w:t>CleanWeb</w:t>
      </w:r>
      <w:proofErr w:type="spellEnd"/>
      <w:r w:rsidRPr="51D657AE">
        <w:rPr>
          <w:rFonts w:ascii="Aptos" w:eastAsia="Aptos" w:hAnsi="Aptos" w:cs="Aptos"/>
          <w:lang w:val="en-GB"/>
        </w:rPr>
        <w:t xml:space="preserve"> to Castor EDC. In total, 989 patients were excluded from the database. 434 of those are patients from inactive </w:t>
      </w:r>
      <w:proofErr w:type="spellStart"/>
      <w:r w:rsidRPr="51D657AE">
        <w:rPr>
          <w:rFonts w:ascii="Aptos" w:eastAsia="Aptos" w:hAnsi="Aptos" w:cs="Aptos"/>
          <w:lang w:val="en-GB"/>
        </w:rPr>
        <w:t>centers</w:t>
      </w:r>
      <w:proofErr w:type="spellEnd"/>
      <w:r w:rsidRPr="51D657AE">
        <w:rPr>
          <w:rFonts w:ascii="Aptos" w:eastAsia="Aptos" w:hAnsi="Aptos" w:cs="Aptos"/>
          <w:lang w:val="en-GB"/>
        </w:rPr>
        <w:t xml:space="preserve">, which were not included in data extractions anyways. 555 patients were excluded due to reasons, such as age &lt;18 years old or no surgery date. These patients are stored separately from the database, in case the inactive </w:t>
      </w:r>
      <w:proofErr w:type="spellStart"/>
      <w:r w:rsidRPr="51D657AE">
        <w:rPr>
          <w:rFonts w:ascii="Aptos" w:eastAsia="Aptos" w:hAnsi="Aptos" w:cs="Aptos"/>
          <w:lang w:val="en-GB"/>
        </w:rPr>
        <w:t>centers</w:t>
      </w:r>
      <w:proofErr w:type="spellEnd"/>
      <w:r w:rsidRPr="51D657AE">
        <w:rPr>
          <w:rFonts w:ascii="Aptos" w:eastAsia="Aptos" w:hAnsi="Aptos" w:cs="Aptos"/>
          <w:lang w:val="en-GB"/>
        </w:rPr>
        <w:t xml:space="preserve"> want to become active again or in case </w:t>
      </w:r>
      <w:proofErr w:type="spellStart"/>
      <w:r w:rsidRPr="51D657AE">
        <w:rPr>
          <w:rFonts w:ascii="Aptos" w:eastAsia="Aptos" w:hAnsi="Aptos" w:cs="Aptos"/>
          <w:lang w:val="en-GB"/>
        </w:rPr>
        <w:t>centers</w:t>
      </w:r>
      <w:proofErr w:type="spellEnd"/>
      <w:r w:rsidRPr="51D657AE">
        <w:rPr>
          <w:rFonts w:ascii="Aptos" w:eastAsia="Aptos" w:hAnsi="Aptos" w:cs="Aptos"/>
          <w:lang w:val="en-GB"/>
        </w:rPr>
        <w:t xml:space="preserve"> want to update the data.</w:t>
      </w:r>
    </w:p>
    <w:p w14:paraId="113274C0" w14:textId="7AD9E26E" w:rsidR="00840807" w:rsidRPr="00F05445" w:rsidRDefault="57280757" w:rsidP="51D657AE">
      <w:pPr>
        <w:spacing w:after="0" w:line="257" w:lineRule="auto"/>
        <w:ind w:left="720"/>
        <w:rPr>
          <w:lang w:val="en-US"/>
        </w:rPr>
      </w:pPr>
      <w:r w:rsidRPr="51D657AE">
        <w:rPr>
          <w:rFonts w:ascii="Aptos" w:eastAsia="Aptos" w:hAnsi="Aptos" w:cs="Aptos"/>
          <w:lang w:val="en-GB"/>
        </w:rPr>
        <w:t xml:space="preserve"> </w:t>
      </w:r>
    </w:p>
    <w:p w14:paraId="07AE5815" w14:textId="568841E7" w:rsidR="00840807" w:rsidRPr="00F05445" w:rsidRDefault="57280757" w:rsidP="51D657AE">
      <w:pPr>
        <w:spacing w:after="0" w:line="257" w:lineRule="auto"/>
        <w:ind w:left="720"/>
        <w:rPr>
          <w:lang w:val="en-US"/>
        </w:rPr>
      </w:pPr>
      <w:r w:rsidRPr="51D657AE">
        <w:rPr>
          <w:rFonts w:ascii="Aptos" w:eastAsia="Aptos" w:hAnsi="Aptos" w:cs="Aptos"/>
          <w:u w:val="single"/>
          <w:lang w:val="en-GB"/>
        </w:rPr>
        <w:t>Median follow-up over time</w:t>
      </w:r>
    </w:p>
    <w:p w14:paraId="780A9881" w14:textId="2FE5E86C" w:rsidR="00840807" w:rsidRPr="00F05445" w:rsidRDefault="57280757" w:rsidP="51D657AE">
      <w:pPr>
        <w:spacing w:after="0" w:line="257" w:lineRule="auto"/>
        <w:ind w:left="720"/>
        <w:rPr>
          <w:lang w:val="en-US"/>
        </w:rPr>
      </w:pPr>
      <w:r w:rsidRPr="51D657AE">
        <w:rPr>
          <w:rFonts w:ascii="Aptos" w:eastAsia="Aptos" w:hAnsi="Aptos" w:cs="Aptos"/>
          <w:i/>
          <w:iCs/>
          <w:lang w:val="en-GB"/>
        </w:rPr>
        <w:t>CV</w:t>
      </w:r>
      <w:r w:rsidRPr="51D657AE">
        <w:rPr>
          <w:rFonts w:ascii="Aptos" w:eastAsia="Aptos" w:hAnsi="Aptos" w:cs="Aptos"/>
          <w:lang w:val="en-GB"/>
        </w:rPr>
        <w:t xml:space="preserve">: follow-up has increased since the last meeting at EACTS in Lisbon. This is mainly due to exclusion of patients from inactive </w:t>
      </w:r>
      <w:proofErr w:type="spellStart"/>
      <w:r w:rsidRPr="51D657AE">
        <w:rPr>
          <w:rFonts w:ascii="Aptos" w:eastAsia="Aptos" w:hAnsi="Aptos" w:cs="Aptos"/>
          <w:lang w:val="en-GB"/>
        </w:rPr>
        <w:t>centers</w:t>
      </w:r>
      <w:proofErr w:type="spellEnd"/>
      <w:r w:rsidRPr="51D657AE">
        <w:rPr>
          <w:rFonts w:ascii="Aptos" w:eastAsia="Aptos" w:hAnsi="Aptos" w:cs="Aptos"/>
          <w:lang w:val="en-GB"/>
        </w:rPr>
        <w:t xml:space="preserve">, but also because of better follow-up input from the active </w:t>
      </w:r>
      <w:proofErr w:type="spellStart"/>
      <w:r w:rsidRPr="51D657AE">
        <w:rPr>
          <w:rFonts w:ascii="Aptos" w:eastAsia="Aptos" w:hAnsi="Aptos" w:cs="Aptos"/>
          <w:lang w:val="en-GB"/>
        </w:rPr>
        <w:t>centers</w:t>
      </w:r>
      <w:proofErr w:type="spellEnd"/>
      <w:r w:rsidRPr="51D657AE">
        <w:rPr>
          <w:rFonts w:ascii="Aptos" w:eastAsia="Aptos" w:hAnsi="Aptos" w:cs="Aptos"/>
          <w:lang w:val="en-GB"/>
        </w:rPr>
        <w:t>.</w:t>
      </w:r>
    </w:p>
    <w:p w14:paraId="437F1219" w14:textId="7F3D9476" w:rsidR="00840807" w:rsidRPr="00F05445" w:rsidRDefault="57280757" w:rsidP="51D657AE">
      <w:pPr>
        <w:spacing w:after="0" w:line="257" w:lineRule="auto"/>
        <w:ind w:left="720"/>
        <w:rPr>
          <w:lang w:val="en-US"/>
        </w:rPr>
      </w:pPr>
      <w:r w:rsidRPr="51D657AE">
        <w:rPr>
          <w:rFonts w:ascii="Aptos" w:eastAsia="Aptos" w:hAnsi="Aptos" w:cs="Aptos"/>
          <w:b/>
          <w:bCs/>
          <w:lang w:val="en-GB"/>
        </w:rPr>
        <w:t xml:space="preserve"> </w:t>
      </w:r>
    </w:p>
    <w:p w14:paraId="45D9EE6B" w14:textId="02AF1B58" w:rsidR="00840807" w:rsidRPr="00F05445" w:rsidRDefault="57280757" w:rsidP="51D657AE">
      <w:pPr>
        <w:spacing w:after="0" w:line="257" w:lineRule="auto"/>
        <w:ind w:left="720"/>
        <w:rPr>
          <w:lang w:val="en-US"/>
        </w:rPr>
      </w:pPr>
      <w:r w:rsidRPr="51D657AE">
        <w:rPr>
          <w:rFonts w:ascii="Aptos" w:eastAsia="Aptos" w:hAnsi="Aptos" w:cs="Aptos"/>
          <w:u w:val="single"/>
          <w:lang w:val="en-GB"/>
        </w:rPr>
        <w:t>Follow-up completeness</w:t>
      </w:r>
    </w:p>
    <w:p w14:paraId="66C194C6" w14:textId="08A6452D" w:rsidR="00840807" w:rsidRPr="00F05445" w:rsidRDefault="57280757" w:rsidP="51D657AE">
      <w:pPr>
        <w:spacing w:after="0" w:line="257" w:lineRule="auto"/>
        <w:ind w:left="720"/>
        <w:rPr>
          <w:lang w:val="en-US"/>
        </w:rPr>
      </w:pPr>
      <w:r w:rsidRPr="51D657AE">
        <w:rPr>
          <w:rFonts w:ascii="Aptos" w:eastAsia="Aptos" w:hAnsi="Aptos" w:cs="Aptos"/>
          <w:i/>
          <w:iCs/>
          <w:lang w:val="en-GB"/>
        </w:rPr>
        <w:t>CV</w:t>
      </w:r>
      <w:r w:rsidRPr="51D657AE">
        <w:rPr>
          <w:rFonts w:ascii="Aptos" w:eastAsia="Aptos" w:hAnsi="Aptos" w:cs="Aptos"/>
          <w:lang w:val="en-GB"/>
        </w:rPr>
        <w:t>: Total follow-up completeness is 49.08%. Follow-up completeness at 1 and 2 years is 75.71% and 70.15%, respectively. However, the goal is 85% or higher.</w:t>
      </w:r>
    </w:p>
    <w:p w14:paraId="6126AFF4" w14:textId="09643D54" w:rsidR="00840807" w:rsidRPr="00F05445" w:rsidRDefault="57280757" w:rsidP="51D657AE">
      <w:pPr>
        <w:spacing w:after="0" w:line="257" w:lineRule="auto"/>
        <w:ind w:left="720"/>
        <w:rPr>
          <w:lang w:val="en-US"/>
        </w:rPr>
      </w:pPr>
      <w:r w:rsidRPr="22183864">
        <w:rPr>
          <w:rFonts w:ascii="Aptos" w:eastAsia="Aptos" w:hAnsi="Aptos" w:cs="Aptos"/>
          <w:i/>
          <w:iCs/>
          <w:lang w:val="en-GB"/>
        </w:rPr>
        <w:t>PB</w:t>
      </w:r>
      <w:r w:rsidRPr="22183864">
        <w:rPr>
          <w:rFonts w:ascii="Aptos" w:eastAsia="Aptos" w:hAnsi="Aptos" w:cs="Aptos"/>
          <w:lang w:val="en-GB"/>
        </w:rPr>
        <w:t xml:space="preserve">: we </w:t>
      </w:r>
      <w:r w:rsidR="2B0CFB64" w:rsidRPr="22183864">
        <w:rPr>
          <w:rFonts w:ascii="Aptos" w:eastAsia="Aptos" w:hAnsi="Aptos" w:cs="Aptos"/>
          <w:lang w:val="en-GB"/>
        </w:rPr>
        <w:t>must</w:t>
      </w:r>
      <w:r w:rsidRPr="22183864">
        <w:rPr>
          <w:rFonts w:ascii="Aptos" w:eastAsia="Aptos" w:hAnsi="Aptos" w:cs="Aptos"/>
          <w:lang w:val="en-GB"/>
        </w:rPr>
        <w:t xml:space="preserve"> increase follow-up completeness; the value of this registry is in long-term follow-up.</w:t>
      </w:r>
    </w:p>
    <w:p w14:paraId="61FC227D" w14:textId="5463D5AF" w:rsidR="00840807" w:rsidRPr="00F05445" w:rsidRDefault="57280757" w:rsidP="51D657AE">
      <w:pPr>
        <w:spacing w:after="0" w:line="257" w:lineRule="auto"/>
        <w:ind w:left="720"/>
        <w:rPr>
          <w:lang w:val="en-US"/>
        </w:rPr>
      </w:pPr>
      <w:r w:rsidRPr="51D657AE">
        <w:rPr>
          <w:rFonts w:ascii="Aptos" w:eastAsia="Aptos" w:hAnsi="Aptos" w:cs="Aptos"/>
          <w:i/>
          <w:iCs/>
          <w:lang w:val="en-GB"/>
        </w:rPr>
        <w:t>BA</w:t>
      </w:r>
      <w:r w:rsidRPr="51D657AE">
        <w:rPr>
          <w:rFonts w:ascii="Aptos" w:eastAsia="Aptos" w:hAnsi="Aptos" w:cs="Aptos"/>
          <w:lang w:val="en-GB"/>
        </w:rPr>
        <w:t xml:space="preserve">: a lot of follow-up is missing, clinical and echocardiographic. </w:t>
      </w:r>
    </w:p>
    <w:p w14:paraId="75DCD247" w14:textId="07210685" w:rsidR="00840807" w:rsidRPr="00F05445" w:rsidRDefault="57280757" w:rsidP="51D657AE">
      <w:pPr>
        <w:spacing w:after="0" w:line="257" w:lineRule="auto"/>
        <w:ind w:left="720"/>
        <w:rPr>
          <w:lang w:val="en-US"/>
        </w:rPr>
      </w:pPr>
      <w:r w:rsidRPr="51D657AE">
        <w:rPr>
          <w:rFonts w:ascii="Aptos" w:eastAsia="Aptos" w:hAnsi="Aptos" w:cs="Aptos"/>
          <w:i/>
          <w:iCs/>
          <w:lang w:val="en-GB"/>
        </w:rPr>
        <w:t>KV</w:t>
      </w:r>
      <w:r w:rsidRPr="51D657AE">
        <w:rPr>
          <w:rFonts w:ascii="Aptos" w:eastAsia="Aptos" w:hAnsi="Aptos" w:cs="Aptos"/>
          <w:lang w:val="en-GB"/>
        </w:rPr>
        <w:t xml:space="preserve">: follow-up completeness is driven down by a few </w:t>
      </w:r>
      <w:proofErr w:type="spellStart"/>
      <w:r w:rsidRPr="51D657AE">
        <w:rPr>
          <w:rFonts w:ascii="Aptos" w:eastAsia="Aptos" w:hAnsi="Aptos" w:cs="Aptos"/>
          <w:lang w:val="en-GB"/>
        </w:rPr>
        <w:t>centers</w:t>
      </w:r>
      <w:proofErr w:type="spellEnd"/>
      <w:r w:rsidRPr="51D657AE">
        <w:rPr>
          <w:rFonts w:ascii="Aptos" w:eastAsia="Aptos" w:hAnsi="Aptos" w:cs="Aptos"/>
          <w:lang w:val="en-GB"/>
        </w:rPr>
        <w:t xml:space="preserve"> that do not update their follow-up regularly. Our focus should now be less on patient inclusion; our main focus should be on increasing follow-up. </w:t>
      </w:r>
    </w:p>
    <w:p w14:paraId="6635F3A0" w14:textId="1FE78399" w:rsidR="00840807" w:rsidRPr="00F05445" w:rsidRDefault="57280757" w:rsidP="51D657AE">
      <w:pPr>
        <w:spacing w:after="0" w:line="257" w:lineRule="auto"/>
        <w:ind w:left="720"/>
        <w:rPr>
          <w:lang w:val="en-US"/>
        </w:rPr>
      </w:pPr>
      <w:r w:rsidRPr="51D657AE">
        <w:rPr>
          <w:rFonts w:ascii="Aptos" w:eastAsia="Aptos" w:hAnsi="Aptos" w:cs="Aptos"/>
          <w:b/>
          <w:bCs/>
          <w:lang w:val="en-GB"/>
        </w:rPr>
        <w:t xml:space="preserve"> </w:t>
      </w:r>
    </w:p>
    <w:p w14:paraId="0FA830C2" w14:textId="47776AD1" w:rsidR="00840807" w:rsidRPr="00F05445" w:rsidRDefault="57280757" w:rsidP="51D657AE">
      <w:pPr>
        <w:spacing w:after="0" w:line="257" w:lineRule="auto"/>
        <w:ind w:left="720"/>
        <w:rPr>
          <w:lang w:val="en-US"/>
        </w:rPr>
      </w:pPr>
      <w:r w:rsidRPr="51D657AE">
        <w:rPr>
          <w:rFonts w:ascii="Aptos" w:eastAsia="Aptos" w:hAnsi="Aptos" w:cs="Aptos"/>
          <w:u w:val="single"/>
          <w:lang w:val="en-GB"/>
        </w:rPr>
        <w:t>Next goals</w:t>
      </w:r>
    </w:p>
    <w:p w14:paraId="5960970F" w14:textId="64DAFFF4" w:rsidR="00840807" w:rsidRPr="00F05445" w:rsidRDefault="57280757" w:rsidP="51D657AE">
      <w:pPr>
        <w:spacing w:after="0" w:line="257" w:lineRule="auto"/>
        <w:ind w:left="720"/>
        <w:rPr>
          <w:lang w:val="en-US"/>
        </w:rPr>
      </w:pPr>
      <w:r w:rsidRPr="51D657AE">
        <w:rPr>
          <w:rFonts w:ascii="Aptos" w:eastAsia="Aptos" w:hAnsi="Aptos" w:cs="Aptos"/>
          <w:i/>
          <w:iCs/>
          <w:lang w:val="en-GB"/>
        </w:rPr>
        <w:t>CV</w:t>
      </w:r>
      <w:r w:rsidRPr="51D657AE">
        <w:rPr>
          <w:rFonts w:ascii="Aptos" w:eastAsia="Aptos" w:hAnsi="Aptos" w:cs="Aptos"/>
          <w:lang w:val="en-GB"/>
        </w:rPr>
        <w:t xml:space="preserve">: Our goals from last year – to get our regulatory procedures in order and to do the transition from Telemedicine’s </w:t>
      </w:r>
      <w:proofErr w:type="spellStart"/>
      <w:r w:rsidRPr="51D657AE">
        <w:rPr>
          <w:rFonts w:ascii="Aptos" w:eastAsia="Aptos" w:hAnsi="Aptos" w:cs="Aptos"/>
          <w:lang w:val="en-GB"/>
        </w:rPr>
        <w:t>CleanWeb</w:t>
      </w:r>
      <w:proofErr w:type="spellEnd"/>
      <w:r w:rsidRPr="51D657AE">
        <w:rPr>
          <w:rFonts w:ascii="Aptos" w:eastAsia="Aptos" w:hAnsi="Aptos" w:cs="Aptos"/>
          <w:lang w:val="en-GB"/>
        </w:rPr>
        <w:t xml:space="preserve"> to Castor EDC – have now been completed. Our next goals are to enhance data quality. We are planning to do that by increasing our follow-up data, meaning we will chase </w:t>
      </w:r>
      <w:proofErr w:type="spellStart"/>
      <w:r w:rsidRPr="51D657AE">
        <w:rPr>
          <w:rFonts w:ascii="Aptos" w:eastAsia="Aptos" w:hAnsi="Aptos" w:cs="Aptos"/>
          <w:lang w:val="en-GB"/>
        </w:rPr>
        <w:t>centers</w:t>
      </w:r>
      <w:proofErr w:type="spellEnd"/>
      <w:r w:rsidRPr="51D657AE">
        <w:rPr>
          <w:rFonts w:ascii="Aptos" w:eastAsia="Aptos" w:hAnsi="Aptos" w:cs="Aptos"/>
          <w:lang w:val="en-GB"/>
        </w:rPr>
        <w:t xml:space="preserve"> more in the case of incomplete and low follow-up input or underreporting of certain events. In case follow-up data has increased, we will thank the </w:t>
      </w:r>
      <w:proofErr w:type="spellStart"/>
      <w:r w:rsidRPr="51D657AE">
        <w:rPr>
          <w:rFonts w:ascii="Aptos" w:eastAsia="Aptos" w:hAnsi="Aptos" w:cs="Aptos"/>
          <w:lang w:val="en-GB"/>
        </w:rPr>
        <w:t>centers</w:t>
      </w:r>
      <w:proofErr w:type="spellEnd"/>
      <w:r w:rsidRPr="51D657AE">
        <w:rPr>
          <w:rFonts w:ascii="Aptos" w:eastAsia="Aptos" w:hAnsi="Aptos" w:cs="Aptos"/>
          <w:lang w:val="en-GB"/>
        </w:rPr>
        <w:t xml:space="preserve"> to keep them motivated. From there we want to increase scientific output with high data quality. Moreover, we want to increase the inclusion of patients undergoing Ross procedures (now n = 293). </w:t>
      </w:r>
    </w:p>
    <w:p w14:paraId="1298232B" w14:textId="43D95E30" w:rsidR="00840807" w:rsidRPr="00F05445" w:rsidRDefault="57280757" w:rsidP="51D657AE">
      <w:pPr>
        <w:spacing w:after="0" w:line="257" w:lineRule="auto"/>
        <w:ind w:left="720"/>
        <w:rPr>
          <w:lang w:val="en-US"/>
        </w:rPr>
      </w:pPr>
      <w:r w:rsidRPr="51D657AE">
        <w:rPr>
          <w:rFonts w:ascii="Aptos" w:eastAsia="Aptos" w:hAnsi="Aptos" w:cs="Aptos"/>
          <w:i/>
          <w:iCs/>
          <w:lang w:val="en-GB"/>
        </w:rPr>
        <w:t>IEH</w:t>
      </w:r>
      <w:r w:rsidRPr="51D657AE">
        <w:rPr>
          <w:rFonts w:ascii="Aptos" w:eastAsia="Aptos" w:hAnsi="Aptos" w:cs="Aptos"/>
          <w:lang w:val="en-GB"/>
        </w:rPr>
        <w:t xml:space="preserve">: proposes to put the database progress in, for example, pamphlets and send these to funders in a quarterly update. This might help the databases in getting more funding. </w:t>
      </w:r>
      <w:r w:rsidRPr="51D657AE">
        <w:rPr>
          <w:rFonts w:ascii="Aptos" w:eastAsia="Aptos" w:hAnsi="Aptos" w:cs="Aptos"/>
          <w:i/>
          <w:iCs/>
          <w:lang w:val="en-GB"/>
        </w:rPr>
        <w:t>KV</w:t>
      </w:r>
      <w:r w:rsidRPr="51D657AE">
        <w:rPr>
          <w:rFonts w:ascii="Aptos" w:eastAsia="Aptos" w:hAnsi="Aptos" w:cs="Aptos"/>
          <w:lang w:val="en-GB"/>
        </w:rPr>
        <w:t xml:space="preserve">: agrees. </w:t>
      </w:r>
    </w:p>
    <w:p w14:paraId="69FB06DB" w14:textId="73A20427" w:rsidR="00840807" w:rsidRPr="00F05445" w:rsidRDefault="57280757" w:rsidP="51D657AE">
      <w:pPr>
        <w:spacing w:after="0" w:line="257" w:lineRule="auto"/>
        <w:ind w:left="720"/>
        <w:rPr>
          <w:lang w:val="en-US"/>
        </w:rPr>
      </w:pPr>
      <w:r w:rsidRPr="51D657AE">
        <w:rPr>
          <w:rFonts w:ascii="Aptos" w:eastAsia="Aptos" w:hAnsi="Aptos" w:cs="Aptos"/>
          <w:i/>
          <w:iCs/>
          <w:lang w:val="en-GB"/>
        </w:rPr>
        <w:t>IEH</w:t>
      </w:r>
      <w:r w:rsidRPr="51D657AE">
        <w:rPr>
          <w:rFonts w:ascii="Aptos" w:eastAsia="Aptos" w:hAnsi="Aptos" w:cs="Aptos"/>
          <w:lang w:val="en-GB"/>
        </w:rPr>
        <w:t>: Next year, there should be a full session about the VRNs. The information shared in this room should get out of the confines of this room.</w:t>
      </w:r>
    </w:p>
    <w:p w14:paraId="00F972AE" w14:textId="12002320" w:rsidR="00840807" w:rsidRPr="00F05445" w:rsidRDefault="57280757" w:rsidP="51D657AE">
      <w:pPr>
        <w:spacing w:after="0" w:line="257" w:lineRule="auto"/>
        <w:ind w:left="720"/>
        <w:rPr>
          <w:lang w:val="en-US"/>
        </w:rPr>
      </w:pPr>
      <w:r w:rsidRPr="51D657AE">
        <w:rPr>
          <w:rFonts w:ascii="Aptos" w:eastAsia="Aptos" w:hAnsi="Aptos" w:cs="Aptos"/>
          <w:i/>
          <w:iCs/>
          <w:lang w:val="en-GB"/>
        </w:rPr>
        <w:t>EG</w:t>
      </w:r>
      <w:r w:rsidRPr="51D657AE">
        <w:rPr>
          <w:rFonts w:ascii="Aptos" w:eastAsia="Aptos" w:hAnsi="Aptos" w:cs="Aptos"/>
          <w:lang w:val="en-GB"/>
        </w:rPr>
        <w:t>: every core leader should put 1 slide at the end of their presentations explaining the VRN.</w:t>
      </w:r>
    </w:p>
    <w:p w14:paraId="7BC68761" w14:textId="14C8A820" w:rsidR="00840807" w:rsidRPr="00F05445" w:rsidRDefault="57280757" w:rsidP="51D657AE">
      <w:pPr>
        <w:spacing w:after="0" w:line="257" w:lineRule="auto"/>
        <w:ind w:left="720"/>
        <w:rPr>
          <w:lang w:val="en-US"/>
        </w:rPr>
      </w:pPr>
      <w:r w:rsidRPr="51D657AE">
        <w:rPr>
          <w:rFonts w:ascii="Aptos" w:eastAsia="Aptos" w:hAnsi="Aptos" w:cs="Aptos"/>
          <w:i/>
          <w:iCs/>
          <w:lang w:val="en-GB"/>
        </w:rPr>
        <w:lastRenderedPageBreak/>
        <w:t>KV</w:t>
      </w:r>
      <w:r w:rsidRPr="51D657AE">
        <w:rPr>
          <w:rFonts w:ascii="Aptos" w:eastAsia="Aptos" w:hAnsi="Aptos" w:cs="Aptos"/>
          <w:lang w:val="en-GB"/>
        </w:rPr>
        <w:t xml:space="preserve">: young HVS would like to get involved with the VRNs. This could be in the form of a SC attaché. </w:t>
      </w:r>
    </w:p>
    <w:p w14:paraId="15AF9E05" w14:textId="583D6802" w:rsidR="00840807" w:rsidRPr="00F05445" w:rsidRDefault="57280757" w:rsidP="51D657AE">
      <w:pPr>
        <w:spacing w:after="0" w:line="257" w:lineRule="auto"/>
        <w:ind w:left="720"/>
        <w:rPr>
          <w:lang w:val="en-US"/>
        </w:rPr>
      </w:pPr>
      <w:r w:rsidRPr="51D657AE">
        <w:rPr>
          <w:rFonts w:ascii="Aptos" w:eastAsia="Aptos" w:hAnsi="Aptos" w:cs="Aptos"/>
          <w:i/>
          <w:iCs/>
          <w:lang w:val="en-GB"/>
        </w:rPr>
        <w:t>IEH</w:t>
      </w:r>
      <w:r w:rsidRPr="51D657AE">
        <w:rPr>
          <w:rFonts w:ascii="Aptos" w:eastAsia="Aptos" w:hAnsi="Aptos" w:cs="Aptos"/>
          <w:lang w:val="en-GB"/>
        </w:rPr>
        <w:t>: young HVS should get academically involved too.</w:t>
      </w:r>
    </w:p>
    <w:p w14:paraId="227B4026" w14:textId="4BA2E8FF" w:rsidR="00840807" w:rsidRPr="00F05445" w:rsidRDefault="57280757" w:rsidP="51D657AE">
      <w:pPr>
        <w:spacing w:after="0" w:line="257" w:lineRule="auto"/>
        <w:ind w:left="720"/>
        <w:rPr>
          <w:lang w:val="en-US"/>
        </w:rPr>
      </w:pPr>
      <w:r w:rsidRPr="22183864">
        <w:rPr>
          <w:rFonts w:ascii="Aptos" w:eastAsia="Aptos" w:hAnsi="Aptos" w:cs="Aptos"/>
          <w:i/>
          <w:iCs/>
          <w:lang w:val="en-GB"/>
        </w:rPr>
        <w:t>ET</w:t>
      </w:r>
      <w:r w:rsidRPr="22183864">
        <w:rPr>
          <w:rFonts w:ascii="Aptos" w:eastAsia="Aptos" w:hAnsi="Aptos" w:cs="Aptos"/>
          <w:lang w:val="en-GB"/>
        </w:rPr>
        <w:t xml:space="preserve">: proposes to let researchers know which journals allow published name groups. This is </w:t>
      </w:r>
      <w:r w:rsidR="1C41F67B" w:rsidRPr="22183864">
        <w:rPr>
          <w:rFonts w:ascii="Aptos" w:eastAsia="Aptos" w:hAnsi="Aptos" w:cs="Aptos"/>
          <w:lang w:val="en-GB"/>
        </w:rPr>
        <w:t>in regard to</w:t>
      </w:r>
      <w:r w:rsidRPr="22183864">
        <w:rPr>
          <w:rFonts w:ascii="Aptos" w:eastAsia="Aptos" w:hAnsi="Aptos" w:cs="Aptos"/>
          <w:lang w:val="en-GB"/>
        </w:rPr>
        <w:t xml:space="preserve"> all valve research network names that need to be added as co-authors to the scientific output (i.e., manuscript, abstract, etc.).</w:t>
      </w:r>
    </w:p>
    <w:p w14:paraId="0FF9C310" w14:textId="7BA50C5C" w:rsidR="00840807" w:rsidRPr="00F05445" w:rsidRDefault="57280757" w:rsidP="51D657AE">
      <w:pPr>
        <w:spacing w:after="0" w:line="257" w:lineRule="auto"/>
        <w:ind w:left="720"/>
        <w:rPr>
          <w:lang w:val="en-US"/>
        </w:rPr>
      </w:pPr>
      <w:r w:rsidRPr="51D657AE">
        <w:rPr>
          <w:rFonts w:ascii="Aptos" w:eastAsia="Aptos" w:hAnsi="Aptos" w:cs="Aptos"/>
          <w:b/>
          <w:bCs/>
          <w:lang w:val="en-GB"/>
        </w:rPr>
        <w:t xml:space="preserve"> </w:t>
      </w:r>
    </w:p>
    <w:p w14:paraId="7431137D" w14:textId="6C69B053" w:rsidR="00840807" w:rsidRDefault="57280757" w:rsidP="51D657AE">
      <w:pPr>
        <w:pStyle w:val="ListParagraph"/>
        <w:numPr>
          <w:ilvl w:val="0"/>
          <w:numId w:val="3"/>
        </w:numPr>
        <w:spacing w:after="0" w:line="257" w:lineRule="auto"/>
        <w:rPr>
          <w:rFonts w:ascii="Aptos" w:eastAsia="Aptos" w:hAnsi="Aptos" w:cs="Aptos"/>
          <w:b/>
          <w:bCs/>
          <w:lang w:val="en-GB"/>
        </w:rPr>
      </w:pPr>
      <w:r w:rsidRPr="51D657AE">
        <w:rPr>
          <w:rFonts w:ascii="Aptos" w:eastAsia="Aptos" w:hAnsi="Aptos" w:cs="Aptos"/>
          <w:b/>
          <w:bCs/>
          <w:lang w:val="en-GB"/>
        </w:rPr>
        <w:t>Scientific Update</w:t>
      </w:r>
    </w:p>
    <w:p w14:paraId="3C993842" w14:textId="2AEBA8CD" w:rsidR="00840807" w:rsidRDefault="57280757" w:rsidP="51D657AE">
      <w:pPr>
        <w:spacing w:after="0" w:line="257" w:lineRule="auto"/>
        <w:ind w:left="720"/>
      </w:pPr>
      <w:r w:rsidRPr="51D657AE">
        <w:rPr>
          <w:rFonts w:ascii="Aptos" w:eastAsia="Aptos" w:hAnsi="Aptos" w:cs="Aptos"/>
          <w:b/>
          <w:bCs/>
          <w:lang w:val="en-GB"/>
        </w:rPr>
        <w:t xml:space="preserve"> </w:t>
      </w:r>
    </w:p>
    <w:p w14:paraId="73208071" w14:textId="79448A66" w:rsidR="00840807" w:rsidRDefault="57280757" w:rsidP="22183864">
      <w:pPr>
        <w:spacing w:after="0" w:line="257" w:lineRule="auto"/>
        <w:ind w:left="720"/>
        <w:rPr>
          <w:rFonts w:ascii="Aptos" w:eastAsia="Aptos" w:hAnsi="Aptos" w:cs="Aptos"/>
          <w:lang w:val="en-GB"/>
        </w:rPr>
      </w:pPr>
      <w:r w:rsidRPr="22183864">
        <w:rPr>
          <w:rFonts w:ascii="Aptos" w:eastAsia="Aptos" w:hAnsi="Aptos" w:cs="Aptos"/>
          <w:i/>
          <w:iCs/>
          <w:lang w:val="en-GB"/>
        </w:rPr>
        <w:t>BA</w:t>
      </w:r>
      <w:r w:rsidRPr="22183864">
        <w:rPr>
          <w:rFonts w:ascii="Aptos" w:eastAsia="Aptos" w:hAnsi="Aptos" w:cs="Aptos"/>
          <w:lang w:val="en-GB"/>
        </w:rPr>
        <w:t xml:space="preserve">: gives an update on newly published projects and ongoing research projects. Since EACTS 2024, 3 articles have now been </w:t>
      </w:r>
      <w:r w:rsidR="7E6CA684" w:rsidRPr="22183864">
        <w:rPr>
          <w:rFonts w:ascii="Aptos" w:eastAsia="Aptos" w:hAnsi="Aptos" w:cs="Aptos"/>
          <w:lang w:val="en-GB"/>
        </w:rPr>
        <w:t>published,</w:t>
      </w:r>
      <w:r w:rsidRPr="22183864">
        <w:rPr>
          <w:rFonts w:ascii="Aptos" w:eastAsia="Aptos" w:hAnsi="Aptos" w:cs="Aptos"/>
          <w:lang w:val="en-GB"/>
        </w:rPr>
        <w:t xml:space="preserve"> and we have 5 new research proposals. However, there are also multiple research proposals without any progress or who we cannot reach the PIs or coordinating investigators of. Moreover, 1 SC committee member has left, </w:t>
      </w:r>
      <w:r w:rsidR="17CAEFFB" w:rsidRPr="22183864">
        <w:rPr>
          <w:rFonts w:ascii="Aptos" w:eastAsia="Aptos" w:hAnsi="Aptos" w:cs="Aptos"/>
          <w:lang w:val="en-GB"/>
        </w:rPr>
        <w:t>opening</w:t>
      </w:r>
      <w:r w:rsidRPr="22183864">
        <w:rPr>
          <w:rFonts w:ascii="Aptos" w:eastAsia="Aptos" w:hAnsi="Aptos" w:cs="Aptos"/>
          <w:lang w:val="en-GB"/>
        </w:rPr>
        <w:t xml:space="preserve"> a spot (Lakshmi </w:t>
      </w:r>
      <w:proofErr w:type="spellStart"/>
      <w:r w:rsidRPr="22183864">
        <w:rPr>
          <w:rFonts w:ascii="Aptos" w:eastAsia="Aptos" w:hAnsi="Aptos" w:cs="Aptos"/>
          <w:lang w:val="en-GB"/>
        </w:rPr>
        <w:t>Dasi</w:t>
      </w:r>
      <w:proofErr w:type="spellEnd"/>
      <w:r w:rsidRPr="22183864">
        <w:rPr>
          <w:rFonts w:ascii="Aptos" w:eastAsia="Aptos" w:hAnsi="Aptos" w:cs="Aptos"/>
          <w:lang w:val="en-GB"/>
        </w:rPr>
        <w:t xml:space="preserve"> has left).  </w:t>
      </w:r>
    </w:p>
    <w:p w14:paraId="0E38BE8B" w14:textId="54C3C622" w:rsidR="00840807" w:rsidRPr="00F05445" w:rsidRDefault="57280757" w:rsidP="51D657AE">
      <w:pPr>
        <w:spacing w:after="0" w:line="257" w:lineRule="auto"/>
        <w:ind w:left="720"/>
        <w:rPr>
          <w:lang w:val="en-US"/>
        </w:rPr>
      </w:pPr>
      <w:r w:rsidRPr="75F26F9F">
        <w:rPr>
          <w:rFonts w:ascii="Aptos" w:eastAsia="Aptos" w:hAnsi="Aptos" w:cs="Aptos"/>
          <w:i/>
          <w:iCs/>
          <w:lang w:val="en-GB"/>
        </w:rPr>
        <w:t>BA + PV + KV</w:t>
      </w:r>
      <w:r w:rsidRPr="75F26F9F">
        <w:rPr>
          <w:rFonts w:ascii="Aptos" w:eastAsia="Aptos" w:hAnsi="Aptos" w:cs="Aptos"/>
          <w:lang w:val="en-GB"/>
        </w:rPr>
        <w:t>: there is currently a time limit of 6 months after data extraction, after which there should be a manuscript draft. There should also be a time limit on the acceptance of the study proposal and the receiving of data extraction. In case of no contact or no evolution in the scientific output of the study proposal, it should be passed on to the next group</w:t>
      </w:r>
      <w:r w:rsidR="63C00DED" w:rsidRPr="75F26F9F">
        <w:rPr>
          <w:rFonts w:ascii="Aptos" w:eastAsia="Aptos" w:hAnsi="Aptos" w:cs="Aptos"/>
          <w:lang w:val="en-GB"/>
        </w:rPr>
        <w:t xml:space="preserve"> if this is </w:t>
      </w:r>
      <w:r w:rsidRPr="75F26F9F">
        <w:rPr>
          <w:rFonts w:ascii="Aptos" w:eastAsia="Aptos" w:hAnsi="Aptos" w:cs="Aptos"/>
          <w:lang w:val="en-GB"/>
        </w:rPr>
        <w:t>.</w:t>
      </w:r>
    </w:p>
    <w:p w14:paraId="279AE336" w14:textId="27676497" w:rsidR="00840807" w:rsidRDefault="57280757" w:rsidP="51D657AE">
      <w:pPr>
        <w:spacing w:after="0" w:line="257" w:lineRule="auto"/>
        <w:ind w:left="720"/>
      </w:pPr>
      <w:r w:rsidRPr="22183864">
        <w:rPr>
          <w:rFonts w:ascii="Aptos" w:eastAsia="Aptos" w:hAnsi="Aptos" w:cs="Aptos"/>
          <w:i/>
          <w:iCs/>
          <w:lang w:val="en-GB"/>
        </w:rPr>
        <w:t>ET</w:t>
      </w:r>
      <w:r w:rsidRPr="22183864">
        <w:rPr>
          <w:rFonts w:ascii="Aptos" w:eastAsia="Aptos" w:hAnsi="Aptos" w:cs="Aptos"/>
          <w:lang w:val="en-GB"/>
        </w:rPr>
        <w:t xml:space="preserve">: in case we see that some researchers are struggling due to limited resources available, we should propose them collaborating with other research groups </w:t>
      </w:r>
      <w:r w:rsidR="48B3F28D" w:rsidRPr="22183864">
        <w:rPr>
          <w:rFonts w:ascii="Aptos" w:eastAsia="Aptos" w:hAnsi="Aptos" w:cs="Aptos"/>
          <w:lang w:val="en-GB"/>
        </w:rPr>
        <w:t>to</w:t>
      </w:r>
      <w:r w:rsidRPr="22183864">
        <w:rPr>
          <w:rFonts w:ascii="Aptos" w:eastAsia="Aptos" w:hAnsi="Aptos" w:cs="Aptos"/>
          <w:lang w:val="en-GB"/>
        </w:rPr>
        <w:t xml:space="preserve"> finish the study proposal. We should promote collaboration more.</w:t>
      </w:r>
    </w:p>
    <w:p w14:paraId="5AFC8057" w14:textId="05C10716" w:rsidR="00840807" w:rsidRDefault="57280757" w:rsidP="51D657AE">
      <w:pPr>
        <w:spacing w:after="0" w:line="257" w:lineRule="auto"/>
        <w:ind w:left="720"/>
      </w:pPr>
      <w:r w:rsidRPr="51D657AE">
        <w:rPr>
          <w:rFonts w:ascii="Aptos" w:eastAsia="Aptos" w:hAnsi="Aptos" w:cs="Aptos"/>
          <w:b/>
          <w:bCs/>
          <w:lang w:val="en-GB"/>
        </w:rPr>
        <w:t xml:space="preserve"> </w:t>
      </w:r>
    </w:p>
    <w:p w14:paraId="50B0862D" w14:textId="321198FC" w:rsidR="00840807" w:rsidRDefault="57280757" w:rsidP="51D657AE">
      <w:pPr>
        <w:pStyle w:val="ListParagraph"/>
        <w:numPr>
          <w:ilvl w:val="0"/>
          <w:numId w:val="3"/>
        </w:numPr>
        <w:spacing w:after="0" w:line="257" w:lineRule="auto"/>
        <w:rPr>
          <w:rFonts w:ascii="Aptos" w:eastAsia="Aptos" w:hAnsi="Aptos" w:cs="Aptos"/>
          <w:b/>
          <w:bCs/>
          <w:lang w:val="en-GB"/>
        </w:rPr>
      </w:pPr>
      <w:r w:rsidRPr="51D657AE">
        <w:rPr>
          <w:rFonts w:ascii="Aptos" w:eastAsia="Aptos" w:hAnsi="Aptos" w:cs="Aptos"/>
          <w:b/>
          <w:bCs/>
          <w:lang w:val="en-GB"/>
        </w:rPr>
        <w:t>Finances</w:t>
      </w:r>
    </w:p>
    <w:p w14:paraId="388D8320" w14:textId="336B70A4" w:rsidR="00840807" w:rsidRDefault="57280757" w:rsidP="51D657AE">
      <w:pPr>
        <w:spacing w:after="0" w:line="257" w:lineRule="auto"/>
        <w:ind w:left="720"/>
      </w:pPr>
      <w:r w:rsidRPr="51D657AE">
        <w:rPr>
          <w:rFonts w:ascii="Aptos" w:eastAsia="Aptos" w:hAnsi="Aptos" w:cs="Aptos"/>
          <w:b/>
          <w:bCs/>
          <w:lang w:val="en-GB"/>
        </w:rPr>
        <w:t xml:space="preserve"> </w:t>
      </w:r>
    </w:p>
    <w:p w14:paraId="28627577" w14:textId="37106131" w:rsidR="00840807" w:rsidRDefault="00840807" w:rsidP="51D657AE">
      <w:pPr>
        <w:pBdr>
          <w:bottom w:val="single" w:sz="8" w:space="1" w:color="000000"/>
        </w:pBdr>
        <w:spacing w:line="257" w:lineRule="auto"/>
        <w:ind w:left="720"/>
        <w:rPr>
          <w:rFonts w:ascii="Aptos" w:eastAsia="Aptos" w:hAnsi="Aptos" w:cs="Aptos"/>
          <w:lang w:val="en-GB"/>
        </w:rPr>
      </w:pPr>
      <w:r w:rsidRPr="00F05445">
        <w:rPr>
          <w:lang w:val="en-US"/>
        </w:rPr>
        <w:br/>
      </w:r>
      <w:r w:rsidR="57280757" w:rsidRPr="51D657AE">
        <w:rPr>
          <w:rFonts w:ascii="Aptos" w:eastAsia="Aptos" w:hAnsi="Aptos" w:cs="Aptos"/>
          <w:lang w:val="en-GB"/>
        </w:rPr>
        <w:t xml:space="preserve"> </w:t>
      </w:r>
      <w:r w:rsidRPr="00F05445">
        <w:rPr>
          <w:lang w:val="en-US"/>
        </w:rPr>
        <w:br/>
      </w:r>
    </w:p>
    <w:p w14:paraId="2CB572BA" w14:textId="478E2202" w:rsidR="00840807" w:rsidRDefault="57280757" w:rsidP="51D657AE">
      <w:pPr>
        <w:spacing w:line="257" w:lineRule="auto"/>
      </w:pPr>
      <w:r w:rsidRPr="51D657AE">
        <w:rPr>
          <w:rFonts w:ascii="Aptos" w:eastAsia="Aptos" w:hAnsi="Aptos" w:cs="Aptos"/>
          <w:u w:val="single"/>
          <w:lang w:val="en-GB"/>
        </w:rPr>
        <w:t>HVS Aortic Kids Database</w:t>
      </w:r>
    </w:p>
    <w:p w14:paraId="081B0C4A" w14:textId="1F51EBD7" w:rsidR="00840807" w:rsidRDefault="57280757" w:rsidP="51D657AE">
      <w:pPr>
        <w:pStyle w:val="ListParagraph"/>
        <w:numPr>
          <w:ilvl w:val="0"/>
          <w:numId w:val="2"/>
        </w:numPr>
        <w:spacing w:after="0" w:line="257" w:lineRule="auto"/>
        <w:rPr>
          <w:rFonts w:ascii="Aptos" w:eastAsia="Aptos" w:hAnsi="Aptos" w:cs="Aptos"/>
          <w:b/>
          <w:bCs/>
          <w:lang w:val="en-GB"/>
        </w:rPr>
      </w:pPr>
      <w:r w:rsidRPr="51D657AE">
        <w:rPr>
          <w:rFonts w:ascii="Aptos" w:eastAsia="Aptos" w:hAnsi="Aptos" w:cs="Aptos"/>
          <w:b/>
          <w:bCs/>
          <w:lang w:val="en-GB"/>
        </w:rPr>
        <w:t>Introduction</w:t>
      </w:r>
    </w:p>
    <w:p w14:paraId="7068C718" w14:textId="3DAA9DFB" w:rsidR="00840807" w:rsidRDefault="57280757" w:rsidP="51D657AE">
      <w:pPr>
        <w:spacing w:after="0" w:line="257" w:lineRule="auto"/>
        <w:ind w:left="720"/>
      </w:pPr>
      <w:r w:rsidRPr="22183864">
        <w:rPr>
          <w:rFonts w:ascii="Aptos" w:eastAsia="Aptos" w:hAnsi="Aptos" w:cs="Aptos"/>
          <w:i/>
          <w:iCs/>
          <w:lang w:val="en-GB"/>
        </w:rPr>
        <w:t>RR</w:t>
      </w:r>
      <w:r w:rsidRPr="22183864">
        <w:rPr>
          <w:rFonts w:ascii="Aptos" w:eastAsia="Aptos" w:hAnsi="Aptos" w:cs="Aptos"/>
          <w:lang w:val="en-GB"/>
        </w:rPr>
        <w:t>: Includes all patients aged 0–18 years with aortic valve disease (AR and/or AS) and/or aortic aneurysm undergoing surgical or transcatheter treatment. Both retrospective and prospective inclusion are possible.</w:t>
      </w:r>
    </w:p>
    <w:p w14:paraId="28370870" w14:textId="49A53871" w:rsidR="00840807" w:rsidRDefault="57280757" w:rsidP="51D657AE">
      <w:pPr>
        <w:spacing w:after="0" w:line="257" w:lineRule="auto"/>
        <w:ind w:left="720"/>
      </w:pPr>
      <w:r w:rsidRPr="51D657AE">
        <w:rPr>
          <w:rFonts w:ascii="Aptos" w:eastAsia="Aptos" w:hAnsi="Aptos" w:cs="Aptos"/>
          <w:lang w:val="en-GB"/>
        </w:rPr>
        <w:t xml:space="preserve"> </w:t>
      </w:r>
    </w:p>
    <w:p w14:paraId="0DA1E590" w14:textId="2AD8E6EB" w:rsidR="00840807" w:rsidRDefault="57280757" w:rsidP="51D657AE">
      <w:pPr>
        <w:pStyle w:val="ListParagraph"/>
        <w:numPr>
          <w:ilvl w:val="0"/>
          <w:numId w:val="2"/>
        </w:numPr>
        <w:spacing w:after="0" w:line="257" w:lineRule="auto"/>
        <w:rPr>
          <w:rFonts w:ascii="Aptos" w:eastAsia="Aptos" w:hAnsi="Aptos" w:cs="Aptos"/>
          <w:b/>
          <w:bCs/>
          <w:lang w:val="en-GB"/>
        </w:rPr>
      </w:pPr>
      <w:r w:rsidRPr="51D657AE">
        <w:rPr>
          <w:rFonts w:ascii="Aptos" w:eastAsia="Aptos" w:hAnsi="Aptos" w:cs="Aptos"/>
          <w:b/>
          <w:bCs/>
          <w:lang w:val="en-GB"/>
        </w:rPr>
        <w:t>Regulatory Update</w:t>
      </w:r>
    </w:p>
    <w:p w14:paraId="6F8AF3E8" w14:textId="1AD0EB0B" w:rsidR="00840807" w:rsidRPr="00F05445" w:rsidRDefault="57280757" w:rsidP="51D657AE">
      <w:pPr>
        <w:spacing w:after="0" w:line="257" w:lineRule="auto"/>
        <w:ind w:left="720"/>
        <w:rPr>
          <w:lang w:val="en-US"/>
        </w:rPr>
      </w:pPr>
      <w:r w:rsidRPr="22183864">
        <w:rPr>
          <w:rFonts w:ascii="Aptos" w:eastAsia="Aptos" w:hAnsi="Aptos" w:cs="Aptos"/>
          <w:i/>
          <w:iCs/>
          <w:lang w:val="en-GB"/>
        </w:rPr>
        <w:t>RR</w:t>
      </w:r>
      <w:r w:rsidRPr="22183864">
        <w:rPr>
          <w:rFonts w:ascii="Aptos" w:eastAsia="Aptos" w:hAnsi="Aptos" w:cs="Aptos"/>
          <w:lang w:val="en-GB"/>
        </w:rPr>
        <w:t xml:space="preserve">: So far, 10 centres confirmed to participate in the HVS Aortic Kids database. Most centres are now reviewing the Joint Data Registry Agreement. 205 patients have been entered so far. The focus is not on finalizing all ethical/legal </w:t>
      </w:r>
      <w:r w:rsidR="107F777D" w:rsidRPr="22183864">
        <w:rPr>
          <w:rFonts w:ascii="Aptos" w:eastAsia="Aptos" w:hAnsi="Aptos" w:cs="Aptos"/>
          <w:lang w:val="en-GB"/>
        </w:rPr>
        <w:t>agreements and</w:t>
      </w:r>
      <w:r w:rsidRPr="22183864">
        <w:rPr>
          <w:rFonts w:ascii="Aptos" w:eastAsia="Aptos" w:hAnsi="Aptos" w:cs="Aptos"/>
          <w:lang w:val="en-GB"/>
        </w:rPr>
        <w:t xml:space="preserve"> follow-up completeness of centres.</w:t>
      </w:r>
    </w:p>
    <w:p w14:paraId="36009C39" w14:textId="19940A47" w:rsidR="00840807" w:rsidRPr="00F05445" w:rsidRDefault="57280757" w:rsidP="51D657AE">
      <w:pPr>
        <w:pBdr>
          <w:bottom w:val="single" w:sz="8" w:space="1" w:color="000000"/>
        </w:pBdr>
        <w:spacing w:line="257" w:lineRule="auto"/>
        <w:ind w:left="720"/>
        <w:rPr>
          <w:lang w:val="en-US"/>
        </w:rPr>
      </w:pPr>
      <w:r w:rsidRPr="51D657AE">
        <w:rPr>
          <w:rFonts w:ascii="Aptos" w:eastAsia="Aptos" w:hAnsi="Aptos" w:cs="Aptos"/>
          <w:lang w:val="en-GB"/>
        </w:rPr>
        <w:t xml:space="preserve"> </w:t>
      </w:r>
    </w:p>
    <w:p w14:paraId="55DF8C41" w14:textId="3DA5630B" w:rsidR="00840807" w:rsidRDefault="57280757" w:rsidP="51D657AE">
      <w:pPr>
        <w:spacing w:line="257" w:lineRule="auto"/>
      </w:pPr>
      <w:r w:rsidRPr="51D657AE">
        <w:rPr>
          <w:rFonts w:ascii="Aptos" w:eastAsia="Aptos" w:hAnsi="Aptos" w:cs="Aptos"/>
          <w:u w:val="single"/>
          <w:lang w:val="en-GB"/>
        </w:rPr>
        <w:t>HVS Mitral Tricuspid Valve Database</w:t>
      </w:r>
    </w:p>
    <w:p w14:paraId="7270002B" w14:textId="39829C7B" w:rsidR="00840807" w:rsidRDefault="57280757" w:rsidP="51D657AE">
      <w:pPr>
        <w:pStyle w:val="ListParagraph"/>
        <w:numPr>
          <w:ilvl w:val="0"/>
          <w:numId w:val="1"/>
        </w:numPr>
        <w:spacing w:after="0" w:line="257" w:lineRule="auto"/>
        <w:rPr>
          <w:rFonts w:ascii="Aptos" w:eastAsia="Aptos" w:hAnsi="Aptos" w:cs="Aptos"/>
          <w:b/>
          <w:bCs/>
          <w:lang w:val="en-GB"/>
        </w:rPr>
      </w:pPr>
      <w:r w:rsidRPr="51D657AE">
        <w:rPr>
          <w:rFonts w:ascii="Aptos" w:eastAsia="Aptos" w:hAnsi="Aptos" w:cs="Aptos"/>
          <w:b/>
          <w:bCs/>
          <w:lang w:val="en-GB"/>
        </w:rPr>
        <w:t>Introduction</w:t>
      </w:r>
    </w:p>
    <w:p w14:paraId="57767486" w14:textId="3020DDF3" w:rsidR="00840807" w:rsidRDefault="57280757" w:rsidP="51D657AE">
      <w:pPr>
        <w:spacing w:after="0" w:line="257" w:lineRule="auto"/>
        <w:ind w:left="720"/>
      </w:pPr>
      <w:r w:rsidRPr="51D657AE">
        <w:rPr>
          <w:rFonts w:ascii="Aptos" w:eastAsia="Aptos" w:hAnsi="Aptos" w:cs="Aptos"/>
          <w:b/>
          <w:bCs/>
          <w:lang w:val="en-GB"/>
        </w:rPr>
        <w:t xml:space="preserve"> </w:t>
      </w:r>
    </w:p>
    <w:p w14:paraId="70EB06D8" w14:textId="0BFA0132" w:rsidR="00840807" w:rsidRDefault="57280757" w:rsidP="51D657AE">
      <w:pPr>
        <w:pStyle w:val="ListParagraph"/>
        <w:numPr>
          <w:ilvl w:val="0"/>
          <w:numId w:val="1"/>
        </w:numPr>
        <w:spacing w:after="0" w:line="257" w:lineRule="auto"/>
        <w:rPr>
          <w:rFonts w:ascii="Aptos" w:eastAsia="Aptos" w:hAnsi="Aptos" w:cs="Aptos"/>
          <w:b/>
          <w:bCs/>
          <w:lang w:val="en-GB"/>
        </w:rPr>
      </w:pPr>
      <w:r w:rsidRPr="51D657AE">
        <w:rPr>
          <w:rFonts w:ascii="Aptos" w:eastAsia="Aptos" w:hAnsi="Aptos" w:cs="Aptos"/>
          <w:b/>
          <w:bCs/>
          <w:lang w:val="en-GB"/>
        </w:rPr>
        <w:t>Database Progress</w:t>
      </w:r>
    </w:p>
    <w:p w14:paraId="3194BE86" w14:textId="01F3BF48" w:rsidR="00840807" w:rsidRPr="00F05445" w:rsidRDefault="57280757" w:rsidP="51D657AE">
      <w:pPr>
        <w:spacing w:after="0" w:line="257" w:lineRule="auto"/>
        <w:ind w:left="720"/>
        <w:rPr>
          <w:lang w:val="en-US"/>
        </w:rPr>
      </w:pPr>
      <w:r w:rsidRPr="22183864">
        <w:rPr>
          <w:rFonts w:ascii="Aptos" w:eastAsia="Aptos" w:hAnsi="Aptos" w:cs="Aptos"/>
          <w:i/>
          <w:iCs/>
          <w:lang w:val="en-GB"/>
        </w:rPr>
        <w:t>DG</w:t>
      </w:r>
      <w:r w:rsidRPr="22183864">
        <w:rPr>
          <w:rFonts w:ascii="Aptos" w:eastAsia="Aptos" w:hAnsi="Aptos" w:cs="Aptos"/>
          <w:lang w:val="en-GB"/>
        </w:rPr>
        <w:t xml:space="preserve">: So far 2208 patients have been included in the database. 2208 patients included </w:t>
      </w:r>
    </w:p>
    <w:p w14:paraId="1F2027E4" w14:textId="3A6572A3" w:rsidR="00840807" w:rsidRPr="00F05445" w:rsidRDefault="57280757" w:rsidP="51D657AE">
      <w:pPr>
        <w:spacing w:after="0" w:line="257" w:lineRule="auto"/>
        <w:ind w:left="720"/>
        <w:rPr>
          <w:lang w:val="en-US"/>
        </w:rPr>
      </w:pPr>
      <w:r w:rsidRPr="51D657AE">
        <w:rPr>
          <w:rFonts w:ascii="Aptos" w:eastAsia="Aptos" w:hAnsi="Aptos" w:cs="Aptos"/>
          <w:lang w:val="en-GB"/>
        </w:rPr>
        <w:lastRenderedPageBreak/>
        <w:t>Batch upload by mapping data from 4 sources, and a part manually, with follow-up from 30 other hospitals in NL.</w:t>
      </w:r>
    </w:p>
    <w:p w14:paraId="64307931" w14:textId="1FEEDCD7" w:rsidR="00840807" w:rsidRPr="00F05445" w:rsidRDefault="57280757" w:rsidP="51D657AE">
      <w:pPr>
        <w:spacing w:after="0" w:line="257" w:lineRule="auto"/>
        <w:ind w:left="720"/>
        <w:rPr>
          <w:lang w:val="en-US"/>
        </w:rPr>
      </w:pPr>
      <w:r w:rsidRPr="51D657AE">
        <w:rPr>
          <w:rFonts w:ascii="Aptos" w:eastAsia="Aptos" w:hAnsi="Aptos" w:cs="Aptos"/>
          <w:lang w:val="en-GB"/>
        </w:rPr>
        <w:t xml:space="preserve"> </w:t>
      </w:r>
    </w:p>
    <w:p w14:paraId="1901185B" w14:textId="466D98A7" w:rsidR="00840807" w:rsidRPr="00F05445" w:rsidRDefault="57280757" w:rsidP="51D657AE">
      <w:pPr>
        <w:spacing w:after="0" w:line="257" w:lineRule="auto"/>
        <w:ind w:left="720"/>
        <w:rPr>
          <w:lang w:val="en-US"/>
        </w:rPr>
      </w:pPr>
      <w:r w:rsidRPr="22183864">
        <w:rPr>
          <w:rFonts w:ascii="Aptos" w:eastAsia="Aptos" w:hAnsi="Aptos" w:cs="Aptos"/>
          <w:i/>
          <w:iCs/>
          <w:lang w:val="en-GB"/>
        </w:rPr>
        <w:t>DG</w:t>
      </w:r>
      <w:r w:rsidRPr="22183864">
        <w:rPr>
          <w:rFonts w:ascii="Aptos" w:eastAsia="Aptos" w:hAnsi="Aptos" w:cs="Aptos"/>
          <w:lang w:val="en-GB"/>
        </w:rPr>
        <w:t xml:space="preserve">: In total there are numerous echo </w:t>
      </w:r>
      <w:r w:rsidR="64F323AA" w:rsidRPr="22183864">
        <w:rPr>
          <w:rFonts w:ascii="Aptos" w:eastAsia="Aptos" w:hAnsi="Aptos" w:cs="Aptos"/>
          <w:lang w:val="en-GB"/>
        </w:rPr>
        <w:t>measurements (</w:t>
      </w:r>
      <w:r w:rsidRPr="22183864">
        <w:rPr>
          <w:rFonts w:ascii="Aptos" w:eastAsia="Aptos" w:hAnsi="Aptos" w:cs="Aptos"/>
          <w:lang w:val="en-GB"/>
        </w:rPr>
        <w:t xml:space="preserve">n= 5590) and Follow-up </w:t>
      </w:r>
      <w:r w:rsidR="7BDA2DC3" w:rsidRPr="22183864">
        <w:rPr>
          <w:rFonts w:ascii="Aptos" w:eastAsia="Aptos" w:hAnsi="Aptos" w:cs="Aptos"/>
          <w:lang w:val="en-GB"/>
        </w:rPr>
        <w:t>measurements (</w:t>
      </w:r>
      <w:r w:rsidRPr="22183864">
        <w:rPr>
          <w:rFonts w:ascii="Aptos" w:eastAsia="Aptos" w:hAnsi="Aptos" w:cs="Aptos"/>
          <w:lang w:val="en-GB"/>
        </w:rPr>
        <w:t>n=2848), providing rich data to conduct research.</w:t>
      </w:r>
    </w:p>
    <w:p w14:paraId="37E06933" w14:textId="7B929114" w:rsidR="00840807" w:rsidRPr="00F05445" w:rsidRDefault="57280757" w:rsidP="51D657AE">
      <w:pPr>
        <w:spacing w:after="0" w:line="257" w:lineRule="auto"/>
        <w:ind w:left="720"/>
        <w:rPr>
          <w:lang w:val="en-US"/>
        </w:rPr>
      </w:pPr>
      <w:r w:rsidRPr="51D657AE">
        <w:rPr>
          <w:rFonts w:ascii="Aptos" w:eastAsia="Aptos" w:hAnsi="Aptos" w:cs="Aptos"/>
          <w:lang w:val="en-GB"/>
        </w:rPr>
        <w:t xml:space="preserve"> </w:t>
      </w:r>
    </w:p>
    <w:p w14:paraId="0368FA9E" w14:textId="03F42793" w:rsidR="00840807" w:rsidRPr="00F05445" w:rsidRDefault="57280757" w:rsidP="51D657AE">
      <w:pPr>
        <w:spacing w:after="0" w:line="257" w:lineRule="auto"/>
        <w:ind w:left="720"/>
        <w:rPr>
          <w:lang w:val="en-US"/>
        </w:rPr>
      </w:pPr>
      <w:r w:rsidRPr="51D657AE">
        <w:rPr>
          <w:rFonts w:ascii="Aptos" w:eastAsia="Aptos" w:hAnsi="Aptos" w:cs="Aptos"/>
          <w:lang w:val="en-GB"/>
        </w:rPr>
        <w:t>DG: 22 Participating centres of which 9 in project 1, 16 in project 2 and 3 in project 3.</w:t>
      </w:r>
    </w:p>
    <w:p w14:paraId="02EC5ED1" w14:textId="0D60A8EF" w:rsidR="00840807" w:rsidRPr="00F05445" w:rsidRDefault="57280757" w:rsidP="51D657AE">
      <w:pPr>
        <w:spacing w:after="0" w:line="257" w:lineRule="auto"/>
        <w:ind w:left="720"/>
        <w:rPr>
          <w:lang w:val="en-US"/>
        </w:rPr>
      </w:pPr>
      <w:r w:rsidRPr="51D657AE">
        <w:rPr>
          <w:rFonts w:ascii="Aptos" w:eastAsia="Aptos" w:hAnsi="Aptos" w:cs="Aptos"/>
          <w:lang w:val="en-GB"/>
        </w:rPr>
        <w:t xml:space="preserve"> </w:t>
      </w:r>
    </w:p>
    <w:p w14:paraId="452E1EA3" w14:textId="6A98E811" w:rsidR="00840807" w:rsidRDefault="57280757" w:rsidP="51D657AE">
      <w:pPr>
        <w:pStyle w:val="ListParagraph"/>
        <w:numPr>
          <w:ilvl w:val="0"/>
          <w:numId w:val="1"/>
        </w:numPr>
        <w:spacing w:after="0" w:line="257" w:lineRule="auto"/>
        <w:rPr>
          <w:rFonts w:ascii="Aptos" w:eastAsia="Aptos" w:hAnsi="Aptos" w:cs="Aptos"/>
          <w:b/>
          <w:bCs/>
          <w:lang w:val="en-GB"/>
        </w:rPr>
      </w:pPr>
      <w:r w:rsidRPr="51D657AE">
        <w:rPr>
          <w:rFonts w:ascii="Aptos" w:eastAsia="Aptos" w:hAnsi="Aptos" w:cs="Aptos"/>
          <w:b/>
          <w:bCs/>
          <w:lang w:val="en-GB"/>
        </w:rPr>
        <w:t>Scientific Update</w:t>
      </w:r>
    </w:p>
    <w:p w14:paraId="1CA44ED3" w14:textId="19BC1032" w:rsidR="00840807" w:rsidRDefault="57280757" w:rsidP="51D657AE">
      <w:pPr>
        <w:spacing w:after="0" w:line="257" w:lineRule="auto"/>
        <w:ind w:left="720"/>
      </w:pPr>
      <w:r w:rsidRPr="51D657AE">
        <w:rPr>
          <w:rFonts w:ascii="Aptos" w:eastAsia="Aptos" w:hAnsi="Aptos" w:cs="Aptos"/>
          <w:lang w:val="en-GB"/>
        </w:rPr>
        <w:t xml:space="preserve"> </w:t>
      </w:r>
    </w:p>
    <w:p w14:paraId="0A67372B" w14:textId="762E6982" w:rsidR="00840807" w:rsidRPr="00F05445" w:rsidRDefault="57280757" w:rsidP="51D657AE">
      <w:pPr>
        <w:spacing w:after="0" w:line="257" w:lineRule="auto"/>
        <w:ind w:left="720"/>
        <w:rPr>
          <w:lang w:val="en-US"/>
        </w:rPr>
      </w:pPr>
      <w:r w:rsidRPr="22183864">
        <w:rPr>
          <w:rFonts w:ascii="Aptos" w:eastAsia="Aptos" w:hAnsi="Aptos" w:cs="Aptos"/>
          <w:i/>
          <w:iCs/>
          <w:lang w:val="en-GB"/>
        </w:rPr>
        <w:t>KV</w:t>
      </w:r>
      <w:r w:rsidRPr="22183864">
        <w:rPr>
          <w:rFonts w:ascii="Aptos" w:eastAsia="Aptos" w:hAnsi="Aptos" w:cs="Aptos"/>
          <w:lang w:val="en-GB"/>
        </w:rPr>
        <w:t>: Project 3 proposed by Leiden UMC Study design: Retrospective nested case-control study analysing predictors of recurrent mitral regurgitation (</w:t>
      </w:r>
      <w:proofErr w:type="spellStart"/>
      <w:r w:rsidRPr="22183864">
        <w:rPr>
          <w:rFonts w:ascii="Aptos" w:eastAsia="Aptos" w:hAnsi="Aptos" w:cs="Aptos"/>
          <w:lang w:val="en-GB"/>
        </w:rPr>
        <w:t>rMR</w:t>
      </w:r>
      <w:proofErr w:type="spellEnd"/>
      <w:r w:rsidRPr="22183864">
        <w:rPr>
          <w:rFonts w:ascii="Aptos" w:eastAsia="Aptos" w:hAnsi="Aptos" w:cs="Aptos"/>
          <w:lang w:val="en-GB"/>
        </w:rPr>
        <w:t xml:space="preserve">) after successful mitral valve repair. Population: Post-surgical mitral valve repair patients with primary/degenerative disease. </w:t>
      </w:r>
    </w:p>
    <w:p w14:paraId="4778B6DA" w14:textId="632D04F3" w:rsidR="00840807" w:rsidRPr="00F05445" w:rsidRDefault="57280757" w:rsidP="51D657AE">
      <w:pPr>
        <w:spacing w:after="0" w:line="257" w:lineRule="auto"/>
        <w:ind w:left="720"/>
        <w:rPr>
          <w:lang w:val="en-US"/>
        </w:rPr>
      </w:pPr>
      <w:r w:rsidRPr="51D657AE">
        <w:rPr>
          <w:rFonts w:ascii="Aptos" w:eastAsia="Aptos" w:hAnsi="Aptos" w:cs="Aptos"/>
          <w:lang w:val="en-GB"/>
        </w:rPr>
        <w:t>Groups:</w:t>
      </w:r>
    </w:p>
    <w:p w14:paraId="5A51E03B" w14:textId="19CEE98F" w:rsidR="00840807" w:rsidRPr="00F05445" w:rsidRDefault="57280757" w:rsidP="51D657AE">
      <w:pPr>
        <w:spacing w:after="0" w:line="257" w:lineRule="auto"/>
        <w:ind w:left="720" w:firstLine="696"/>
        <w:rPr>
          <w:lang w:val="en-US"/>
        </w:rPr>
      </w:pPr>
      <w:r w:rsidRPr="51D657AE">
        <w:rPr>
          <w:rFonts w:ascii="Aptos" w:eastAsia="Aptos" w:hAnsi="Aptos" w:cs="Aptos"/>
          <w:lang w:val="en-GB"/>
        </w:rPr>
        <w:t xml:space="preserve">Cases: Patients with </w:t>
      </w:r>
      <w:proofErr w:type="spellStart"/>
      <w:r w:rsidRPr="51D657AE">
        <w:rPr>
          <w:rFonts w:ascii="Aptos" w:eastAsia="Aptos" w:hAnsi="Aptos" w:cs="Aptos"/>
          <w:lang w:val="en-GB"/>
        </w:rPr>
        <w:t>rMR</w:t>
      </w:r>
      <w:proofErr w:type="spellEnd"/>
      <w:r w:rsidRPr="51D657AE">
        <w:rPr>
          <w:rFonts w:ascii="Aptos" w:eastAsia="Aptos" w:hAnsi="Aptos" w:cs="Aptos"/>
          <w:lang w:val="en-GB"/>
        </w:rPr>
        <w:t xml:space="preserve"> during follow-up.</w:t>
      </w:r>
    </w:p>
    <w:p w14:paraId="1B935075" w14:textId="7F274170" w:rsidR="00840807" w:rsidRPr="00F05445" w:rsidRDefault="57280757" w:rsidP="51D657AE">
      <w:pPr>
        <w:spacing w:after="0" w:line="257" w:lineRule="auto"/>
        <w:ind w:left="1416"/>
        <w:rPr>
          <w:lang w:val="en-US"/>
        </w:rPr>
      </w:pPr>
      <w:r w:rsidRPr="51D657AE">
        <w:rPr>
          <w:rFonts w:ascii="Aptos" w:eastAsia="Aptos" w:hAnsi="Aptos" w:cs="Aptos"/>
          <w:lang w:val="en-GB"/>
        </w:rPr>
        <w:t xml:space="preserve">Controls: Matched (1:2) patients without </w:t>
      </w:r>
      <w:proofErr w:type="spellStart"/>
      <w:r w:rsidRPr="51D657AE">
        <w:rPr>
          <w:rFonts w:ascii="Aptos" w:eastAsia="Aptos" w:hAnsi="Aptos" w:cs="Aptos"/>
          <w:lang w:val="en-GB"/>
        </w:rPr>
        <w:t>rMR</w:t>
      </w:r>
      <w:proofErr w:type="spellEnd"/>
      <w:r w:rsidRPr="51D657AE">
        <w:rPr>
          <w:rFonts w:ascii="Aptos" w:eastAsia="Aptos" w:hAnsi="Aptos" w:cs="Aptos"/>
          <w:lang w:val="en-GB"/>
        </w:rPr>
        <w:t xml:space="preserve"> at the same follow-up time, derived from the LUMC cohort. Several matching criteria applied.</w:t>
      </w:r>
    </w:p>
    <w:p w14:paraId="5C22568D" w14:textId="7422354D" w:rsidR="00840807" w:rsidRPr="00F05445" w:rsidRDefault="57280757" w:rsidP="51D657AE">
      <w:pPr>
        <w:spacing w:after="0" w:line="257" w:lineRule="auto"/>
        <w:ind w:left="720"/>
        <w:rPr>
          <w:lang w:val="en-US"/>
        </w:rPr>
      </w:pPr>
      <w:r w:rsidRPr="00F05445">
        <w:rPr>
          <w:rFonts w:ascii="Aptos" w:eastAsia="Aptos" w:hAnsi="Aptos" w:cs="Aptos"/>
          <w:lang w:val="en-US"/>
        </w:rPr>
        <w:t xml:space="preserve"> </w:t>
      </w:r>
    </w:p>
    <w:p w14:paraId="23001DE0" w14:textId="62019710" w:rsidR="00840807" w:rsidRPr="00F05445" w:rsidRDefault="57280757" w:rsidP="51D657AE">
      <w:pPr>
        <w:spacing w:after="0" w:line="257" w:lineRule="auto"/>
        <w:ind w:left="720"/>
        <w:rPr>
          <w:lang w:val="en-US"/>
        </w:rPr>
      </w:pPr>
      <w:r w:rsidRPr="00F05445">
        <w:rPr>
          <w:rFonts w:ascii="Aptos" w:eastAsia="Aptos" w:hAnsi="Aptos" w:cs="Aptos"/>
          <w:i/>
          <w:iCs/>
          <w:lang w:val="en-US"/>
        </w:rPr>
        <w:t>DG</w:t>
      </w:r>
      <w:r w:rsidRPr="00F05445">
        <w:rPr>
          <w:rFonts w:ascii="Aptos" w:eastAsia="Aptos" w:hAnsi="Aptos" w:cs="Aptos"/>
          <w:lang w:val="en-US"/>
        </w:rPr>
        <w:t>: First paper is in press. This is the Data Resource Profile, outlining the framework and governance of Database</w:t>
      </w:r>
    </w:p>
    <w:p w14:paraId="6534597C" w14:textId="5BDCE19E" w:rsidR="00840807" w:rsidRPr="00F05445" w:rsidRDefault="57280757" w:rsidP="51D657AE">
      <w:pPr>
        <w:spacing w:after="0" w:line="257" w:lineRule="auto"/>
        <w:ind w:left="720"/>
        <w:rPr>
          <w:lang w:val="en-US"/>
        </w:rPr>
      </w:pPr>
      <w:r w:rsidRPr="00F05445">
        <w:rPr>
          <w:rFonts w:ascii="Aptos" w:eastAsia="Aptos" w:hAnsi="Aptos" w:cs="Aptos"/>
          <w:lang w:val="en-US"/>
        </w:rPr>
        <w:t xml:space="preserve"> </w:t>
      </w:r>
    </w:p>
    <w:p w14:paraId="34A7A82C" w14:textId="7233431F" w:rsidR="00840807" w:rsidRPr="00F05445" w:rsidRDefault="57280757" w:rsidP="51D657AE">
      <w:pPr>
        <w:spacing w:after="0" w:line="257" w:lineRule="auto"/>
        <w:ind w:left="720"/>
        <w:rPr>
          <w:lang w:val="en-US"/>
        </w:rPr>
      </w:pPr>
      <w:r w:rsidRPr="00F05445">
        <w:rPr>
          <w:rFonts w:ascii="Aptos" w:eastAsia="Aptos" w:hAnsi="Aptos" w:cs="Aptos"/>
          <w:b/>
          <w:bCs/>
          <w:lang w:val="en-US"/>
        </w:rPr>
        <w:t xml:space="preserve"> </w:t>
      </w:r>
    </w:p>
    <w:p w14:paraId="535BF409" w14:textId="654783EF" w:rsidR="00840807" w:rsidRDefault="57280757" w:rsidP="51D657AE">
      <w:pPr>
        <w:pStyle w:val="ListParagraph"/>
        <w:numPr>
          <w:ilvl w:val="0"/>
          <w:numId w:val="1"/>
        </w:numPr>
        <w:spacing w:after="0" w:line="257" w:lineRule="auto"/>
        <w:rPr>
          <w:rFonts w:ascii="Aptos" w:eastAsia="Aptos" w:hAnsi="Aptos" w:cs="Aptos"/>
          <w:b/>
          <w:bCs/>
          <w:lang w:val="en-GB"/>
        </w:rPr>
      </w:pPr>
      <w:r w:rsidRPr="51D657AE">
        <w:rPr>
          <w:rFonts w:ascii="Aptos" w:eastAsia="Aptos" w:hAnsi="Aptos" w:cs="Aptos"/>
          <w:b/>
          <w:bCs/>
          <w:lang w:val="en-GB"/>
        </w:rPr>
        <w:t>Funding</w:t>
      </w:r>
    </w:p>
    <w:p w14:paraId="404F6C45" w14:textId="05412552" w:rsidR="00840807" w:rsidRPr="00F05445" w:rsidRDefault="00840807" w:rsidP="51D657AE">
      <w:pPr>
        <w:spacing w:line="257" w:lineRule="auto"/>
        <w:rPr>
          <w:lang w:val="en-US"/>
        </w:rPr>
      </w:pPr>
    </w:p>
    <w:p w14:paraId="579B0BDE" w14:textId="3BAE2981" w:rsidR="00840807" w:rsidRPr="00F05445" w:rsidRDefault="00840807" w:rsidP="51D657AE">
      <w:pPr>
        <w:spacing w:line="257" w:lineRule="auto"/>
        <w:rPr>
          <w:lang w:val="en-US"/>
        </w:rPr>
      </w:pPr>
    </w:p>
    <w:p w14:paraId="192CD3C3" w14:textId="57E6483F" w:rsidR="00840807" w:rsidRPr="00F05445" w:rsidRDefault="57280757" w:rsidP="51D657AE">
      <w:pPr>
        <w:spacing w:line="257" w:lineRule="auto"/>
        <w:rPr>
          <w:lang w:val="en-US"/>
        </w:rPr>
      </w:pPr>
      <w:r w:rsidRPr="51D657AE">
        <w:rPr>
          <w:rFonts w:ascii="Aptos" w:eastAsia="Aptos" w:hAnsi="Aptos" w:cs="Aptos"/>
          <w:lang w:val="en-GB"/>
        </w:rPr>
        <w:t xml:space="preserve"> </w:t>
      </w:r>
    </w:p>
    <w:p w14:paraId="158E925D" w14:textId="278E16EE" w:rsidR="00840807" w:rsidRDefault="00840807" w:rsidP="51D657AE">
      <w:pPr>
        <w:spacing w:line="257" w:lineRule="auto"/>
        <w:ind w:left="720"/>
        <w:rPr>
          <w:rFonts w:ascii="Aptos" w:eastAsia="Aptos" w:hAnsi="Aptos" w:cs="Aptos"/>
          <w:lang w:val="en-GB"/>
        </w:rPr>
      </w:pPr>
    </w:p>
    <w:p w14:paraId="52E2F2D8" w14:textId="3ECA2392" w:rsidR="00840807" w:rsidRPr="00F05445" w:rsidRDefault="00840807" w:rsidP="00C70947">
      <w:pPr>
        <w:pStyle w:val="ListParagraph"/>
        <w:rPr>
          <w:lang w:val="en-US"/>
        </w:rPr>
      </w:pPr>
    </w:p>
    <w:sectPr w:rsidR="00840807" w:rsidRPr="00F05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51D4"/>
    <w:multiLevelType w:val="hybridMultilevel"/>
    <w:tmpl w:val="DADCE9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F90379"/>
    <w:multiLevelType w:val="hybridMultilevel"/>
    <w:tmpl w:val="580A062A"/>
    <w:lvl w:ilvl="0" w:tplc="B4A82CFC">
      <w:start w:val="1"/>
      <w:numFmt w:val="decimal"/>
      <w:lvlText w:val="%1."/>
      <w:lvlJc w:val="left"/>
      <w:pPr>
        <w:ind w:left="720" w:hanging="360"/>
      </w:pPr>
    </w:lvl>
    <w:lvl w:ilvl="1" w:tplc="236EB588">
      <w:start w:val="1"/>
      <w:numFmt w:val="lowerLetter"/>
      <w:lvlText w:val="%2."/>
      <w:lvlJc w:val="left"/>
      <w:pPr>
        <w:ind w:left="1440" w:hanging="360"/>
      </w:pPr>
    </w:lvl>
    <w:lvl w:ilvl="2" w:tplc="C6983F44">
      <w:start w:val="1"/>
      <w:numFmt w:val="lowerRoman"/>
      <w:lvlText w:val="%3."/>
      <w:lvlJc w:val="right"/>
      <w:pPr>
        <w:ind w:left="2160" w:hanging="180"/>
      </w:pPr>
    </w:lvl>
    <w:lvl w:ilvl="3" w:tplc="649C32E6">
      <w:start w:val="1"/>
      <w:numFmt w:val="decimal"/>
      <w:lvlText w:val="%4."/>
      <w:lvlJc w:val="left"/>
      <w:pPr>
        <w:ind w:left="2880" w:hanging="360"/>
      </w:pPr>
    </w:lvl>
    <w:lvl w:ilvl="4" w:tplc="FC1ED30C">
      <w:start w:val="1"/>
      <w:numFmt w:val="lowerLetter"/>
      <w:lvlText w:val="%5."/>
      <w:lvlJc w:val="left"/>
      <w:pPr>
        <w:ind w:left="3600" w:hanging="360"/>
      </w:pPr>
    </w:lvl>
    <w:lvl w:ilvl="5" w:tplc="07FE1C92">
      <w:start w:val="1"/>
      <w:numFmt w:val="lowerRoman"/>
      <w:lvlText w:val="%6."/>
      <w:lvlJc w:val="right"/>
      <w:pPr>
        <w:ind w:left="4320" w:hanging="180"/>
      </w:pPr>
    </w:lvl>
    <w:lvl w:ilvl="6" w:tplc="4CF4B438">
      <w:start w:val="1"/>
      <w:numFmt w:val="decimal"/>
      <w:lvlText w:val="%7."/>
      <w:lvlJc w:val="left"/>
      <w:pPr>
        <w:ind w:left="5040" w:hanging="360"/>
      </w:pPr>
    </w:lvl>
    <w:lvl w:ilvl="7" w:tplc="6C22CCD2">
      <w:start w:val="1"/>
      <w:numFmt w:val="lowerLetter"/>
      <w:lvlText w:val="%8."/>
      <w:lvlJc w:val="left"/>
      <w:pPr>
        <w:ind w:left="5760" w:hanging="360"/>
      </w:pPr>
    </w:lvl>
    <w:lvl w:ilvl="8" w:tplc="357412B8">
      <w:start w:val="1"/>
      <w:numFmt w:val="lowerRoman"/>
      <w:lvlText w:val="%9."/>
      <w:lvlJc w:val="right"/>
      <w:pPr>
        <w:ind w:left="6480" w:hanging="180"/>
      </w:pPr>
    </w:lvl>
  </w:abstractNum>
  <w:abstractNum w:abstractNumId="2" w15:restartNumberingAfterBreak="0">
    <w:nsid w:val="2DD367AF"/>
    <w:multiLevelType w:val="hybridMultilevel"/>
    <w:tmpl w:val="2D047594"/>
    <w:lvl w:ilvl="0" w:tplc="53C05EBC">
      <w:start w:val="1"/>
      <w:numFmt w:val="decimal"/>
      <w:lvlText w:val="%1."/>
      <w:lvlJc w:val="left"/>
      <w:pPr>
        <w:ind w:left="720" w:hanging="360"/>
      </w:pPr>
    </w:lvl>
    <w:lvl w:ilvl="1" w:tplc="DBF4A0DA">
      <w:start w:val="1"/>
      <w:numFmt w:val="lowerLetter"/>
      <w:lvlText w:val="%2."/>
      <w:lvlJc w:val="left"/>
      <w:pPr>
        <w:ind w:left="1440" w:hanging="360"/>
      </w:pPr>
    </w:lvl>
    <w:lvl w:ilvl="2" w:tplc="502E6D86">
      <w:start w:val="1"/>
      <w:numFmt w:val="lowerRoman"/>
      <w:lvlText w:val="%3."/>
      <w:lvlJc w:val="right"/>
      <w:pPr>
        <w:ind w:left="2160" w:hanging="180"/>
      </w:pPr>
    </w:lvl>
    <w:lvl w:ilvl="3" w:tplc="2F88D19C">
      <w:start w:val="1"/>
      <w:numFmt w:val="decimal"/>
      <w:lvlText w:val="%4."/>
      <w:lvlJc w:val="left"/>
      <w:pPr>
        <w:ind w:left="2880" w:hanging="360"/>
      </w:pPr>
    </w:lvl>
    <w:lvl w:ilvl="4" w:tplc="F58204A0">
      <w:start w:val="1"/>
      <w:numFmt w:val="lowerLetter"/>
      <w:lvlText w:val="%5."/>
      <w:lvlJc w:val="left"/>
      <w:pPr>
        <w:ind w:left="3600" w:hanging="360"/>
      </w:pPr>
    </w:lvl>
    <w:lvl w:ilvl="5" w:tplc="C868E9F6">
      <w:start w:val="1"/>
      <w:numFmt w:val="lowerRoman"/>
      <w:lvlText w:val="%6."/>
      <w:lvlJc w:val="right"/>
      <w:pPr>
        <w:ind w:left="4320" w:hanging="180"/>
      </w:pPr>
    </w:lvl>
    <w:lvl w:ilvl="6" w:tplc="21BEE6E8">
      <w:start w:val="1"/>
      <w:numFmt w:val="decimal"/>
      <w:lvlText w:val="%7."/>
      <w:lvlJc w:val="left"/>
      <w:pPr>
        <w:ind w:left="5040" w:hanging="360"/>
      </w:pPr>
    </w:lvl>
    <w:lvl w:ilvl="7" w:tplc="F222C600">
      <w:start w:val="1"/>
      <w:numFmt w:val="lowerLetter"/>
      <w:lvlText w:val="%8."/>
      <w:lvlJc w:val="left"/>
      <w:pPr>
        <w:ind w:left="5760" w:hanging="360"/>
      </w:pPr>
    </w:lvl>
    <w:lvl w:ilvl="8" w:tplc="6F685F02">
      <w:start w:val="1"/>
      <w:numFmt w:val="lowerRoman"/>
      <w:lvlText w:val="%9."/>
      <w:lvlJc w:val="right"/>
      <w:pPr>
        <w:ind w:left="6480" w:hanging="180"/>
      </w:pPr>
    </w:lvl>
  </w:abstractNum>
  <w:abstractNum w:abstractNumId="3" w15:restartNumberingAfterBreak="0">
    <w:nsid w:val="64C61508"/>
    <w:multiLevelType w:val="hybridMultilevel"/>
    <w:tmpl w:val="58B46604"/>
    <w:lvl w:ilvl="0" w:tplc="2B4693A8">
      <w:start w:val="1"/>
      <w:numFmt w:val="decimal"/>
      <w:lvlText w:val="%1."/>
      <w:lvlJc w:val="left"/>
      <w:pPr>
        <w:ind w:left="720" w:hanging="360"/>
      </w:pPr>
    </w:lvl>
    <w:lvl w:ilvl="1" w:tplc="25EAE078">
      <w:start w:val="1"/>
      <w:numFmt w:val="lowerLetter"/>
      <w:lvlText w:val="%2."/>
      <w:lvlJc w:val="left"/>
      <w:pPr>
        <w:ind w:left="1440" w:hanging="360"/>
      </w:pPr>
    </w:lvl>
    <w:lvl w:ilvl="2" w:tplc="1506FA04">
      <w:start w:val="1"/>
      <w:numFmt w:val="lowerRoman"/>
      <w:lvlText w:val="%3."/>
      <w:lvlJc w:val="right"/>
      <w:pPr>
        <w:ind w:left="2160" w:hanging="180"/>
      </w:pPr>
    </w:lvl>
    <w:lvl w:ilvl="3" w:tplc="EF7615C4">
      <w:start w:val="1"/>
      <w:numFmt w:val="decimal"/>
      <w:lvlText w:val="%4."/>
      <w:lvlJc w:val="left"/>
      <w:pPr>
        <w:ind w:left="2880" w:hanging="360"/>
      </w:pPr>
    </w:lvl>
    <w:lvl w:ilvl="4" w:tplc="700866DA">
      <w:start w:val="1"/>
      <w:numFmt w:val="lowerLetter"/>
      <w:lvlText w:val="%5."/>
      <w:lvlJc w:val="left"/>
      <w:pPr>
        <w:ind w:left="3600" w:hanging="360"/>
      </w:pPr>
    </w:lvl>
    <w:lvl w:ilvl="5" w:tplc="3AA68668">
      <w:start w:val="1"/>
      <w:numFmt w:val="lowerRoman"/>
      <w:lvlText w:val="%6."/>
      <w:lvlJc w:val="right"/>
      <w:pPr>
        <w:ind w:left="4320" w:hanging="180"/>
      </w:pPr>
    </w:lvl>
    <w:lvl w:ilvl="6" w:tplc="EEBEA642">
      <w:start w:val="1"/>
      <w:numFmt w:val="decimal"/>
      <w:lvlText w:val="%7."/>
      <w:lvlJc w:val="left"/>
      <w:pPr>
        <w:ind w:left="5040" w:hanging="360"/>
      </w:pPr>
    </w:lvl>
    <w:lvl w:ilvl="7" w:tplc="C980BBB4">
      <w:start w:val="1"/>
      <w:numFmt w:val="lowerLetter"/>
      <w:lvlText w:val="%8."/>
      <w:lvlJc w:val="left"/>
      <w:pPr>
        <w:ind w:left="5760" w:hanging="360"/>
      </w:pPr>
    </w:lvl>
    <w:lvl w:ilvl="8" w:tplc="73342F5C">
      <w:start w:val="1"/>
      <w:numFmt w:val="lowerRoman"/>
      <w:lvlText w:val="%9."/>
      <w:lvlJc w:val="right"/>
      <w:pPr>
        <w:ind w:left="6480" w:hanging="180"/>
      </w:pPr>
    </w:lvl>
  </w:abstractNum>
  <w:num w:numId="1" w16cid:durableId="828250435">
    <w:abstractNumId w:val="2"/>
  </w:num>
  <w:num w:numId="2" w16cid:durableId="991183120">
    <w:abstractNumId w:val="3"/>
  </w:num>
  <w:num w:numId="3" w16cid:durableId="561408432">
    <w:abstractNumId w:val="1"/>
  </w:num>
  <w:num w:numId="4" w16cid:durableId="62049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47"/>
    <w:rsid w:val="0000930F"/>
    <w:rsid w:val="0008079B"/>
    <w:rsid w:val="00413E51"/>
    <w:rsid w:val="00460AA6"/>
    <w:rsid w:val="004C342A"/>
    <w:rsid w:val="00677B72"/>
    <w:rsid w:val="00840807"/>
    <w:rsid w:val="00A71C7B"/>
    <w:rsid w:val="00B212F3"/>
    <w:rsid w:val="00B4540F"/>
    <w:rsid w:val="00C70947"/>
    <w:rsid w:val="00CB0F7C"/>
    <w:rsid w:val="00E37A3C"/>
    <w:rsid w:val="00EF039B"/>
    <w:rsid w:val="00F05445"/>
    <w:rsid w:val="00FB7941"/>
    <w:rsid w:val="02857E4F"/>
    <w:rsid w:val="039AA5F4"/>
    <w:rsid w:val="05D11AAB"/>
    <w:rsid w:val="05F9EF22"/>
    <w:rsid w:val="07E81ED0"/>
    <w:rsid w:val="0C2AC270"/>
    <w:rsid w:val="107F777D"/>
    <w:rsid w:val="11F34F4F"/>
    <w:rsid w:val="14B7801A"/>
    <w:rsid w:val="14C3C756"/>
    <w:rsid w:val="15A1128B"/>
    <w:rsid w:val="17CAEFFB"/>
    <w:rsid w:val="1C41F67B"/>
    <w:rsid w:val="1E31FDF2"/>
    <w:rsid w:val="1E3C9887"/>
    <w:rsid w:val="1F96219E"/>
    <w:rsid w:val="22183864"/>
    <w:rsid w:val="225470D0"/>
    <w:rsid w:val="22946278"/>
    <w:rsid w:val="23856011"/>
    <w:rsid w:val="24B4E88F"/>
    <w:rsid w:val="292250EC"/>
    <w:rsid w:val="2ADEF561"/>
    <w:rsid w:val="2B0CFB64"/>
    <w:rsid w:val="2D69436C"/>
    <w:rsid w:val="2DA0CB7C"/>
    <w:rsid w:val="2E4757F7"/>
    <w:rsid w:val="356A0AC5"/>
    <w:rsid w:val="368C0906"/>
    <w:rsid w:val="381EE601"/>
    <w:rsid w:val="38208078"/>
    <w:rsid w:val="39C021B5"/>
    <w:rsid w:val="44227EE4"/>
    <w:rsid w:val="48B3F28D"/>
    <w:rsid w:val="493C40FA"/>
    <w:rsid w:val="51D657AE"/>
    <w:rsid w:val="57280757"/>
    <w:rsid w:val="596BBFC1"/>
    <w:rsid w:val="5A278DEF"/>
    <w:rsid w:val="5EC2B430"/>
    <w:rsid w:val="5EEFEC8C"/>
    <w:rsid w:val="61BC7434"/>
    <w:rsid w:val="63C00DED"/>
    <w:rsid w:val="64F323AA"/>
    <w:rsid w:val="675100EF"/>
    <w:rsid w:val="6E7C50F1"/>
    <w:rsid w:val="72D225C0"/>
    <w:rsid w:val="75A3B73D"/>
    <w:rsid w:val="75F26F9F"/>
    <w:rsid w:val="7727E9F3"/>
    <w:rsid w:val="7BDA2DC3"/>
    <w:rsid w:val="7D57075E"/>
    <w:rsid w:val="7E6CA6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461B"/>
  <w15:chartTrackingRefBased/>
  <w15:docId w15:val="{926EA448-CDD9-4C1C-9A56-B99E04D7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947"/>
    <w:rPr>
      <w:rFonts w:eastAsiaTheme="majorEastAsia" w:cstheme="majorBidi"/>
      <w:color w:val="272727" w:themeColor="text1" w:themeTint="D8"/>
    </w:rPr>
  </w:style>
  <w:style w:type="paragraph" w:styleId="Title">
    <w:name w:val="Title"/>
    <w:basedOn w:val="Normal"/>
    <w:next w:val="Normal"/>
    <w:link w:val="TitleChar"/>
    <w:uiPriority w:val="10"/>
    <w:qFormat/>
    <w:rsid w:val="00C70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947"/>
    <w:pPr>
      <w:spacing w:before="160"/>
      <w:jc w:val="center"/>
    </w:pPr>
    <w:rPr>
      <w:i/>
      <w:iCs/>
      <w:color w:val="404040" w:themeColor="text1" w:themeTint="BF"/>
    </w:rPr>
  </w:style>
  <w:style w:type="character" w:customStyle="1" w:styleId="QuoteChar">
    <w:name w:val="Quote Char"/>
    <w:basedOn w:val="DefaultParagraphFont"/>
    <w:link w:val="Quote"/>
    <w:uiPriority w:val="29"/>
    <w:rsid w:val="00C70947"/>
    <w:rPr>
      <w:i/>
      <w:iCs/>
      <w:color w:val="404040" w:themeColor="text1" w:themeTint="BF"/>
    </w:rPr>
  </w:style>
  <w:style w:type="paragraph" w:styleId="ListParagraph">
    <w:name w:val="List Paragraph"/>
    <w:basedOn w:val="Normal"/>
    <w:uiPriority w:val="34"/>
    <w:qFormat/>
    <w:rsid w:val="00C70947"/>
    <w:pPr>
      <w:ind w:left="720"/>
      <w:contextualSpacing/>
    </w:pPr>
  </w:style>
  <w:style w:type="character" w:styleId="IntenseEmphasis">
    <w:name w:val="Intense Emphasis"/>
    <w:basedOn w:val="DefaultParagraphFont"/>
    <w:uiPriority w:val="21"/>
    <w:qFormat/>
    <w:rsid w:val="00C70947"/>
    <w:rPr>
      <w:i/>
      <w:iCs/>
      <w:color w:val="0F4761" w:themeColor="accent1" w:themeShade="BF"/>
    </w:rPr>
  </w:style>
  <w:style w:type="paragraph" w:styleId="IntenseQuote">
    <w:name w:val="Intense Quote"/>
    <w:basedOn w:val="Normal"/>
    <w:next w:val="Normal"/>
    <w:link w:val="IntenseQuoteChar"/>
    <w:uiPriority w:val="30"/>
    <w:qFormat/>
    <w:rsid w:val="00C70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947"/>
    <w:rPr>
      <w:i/>
      <w:iCs/>
      <w:color w:val="0F4761" w:themeColor="accent1" w:themeShade="BF"/>
    </w:rPr>
  </w:style>
  <w:style w:type="character" w:styleId="IntenseReference">
    <w:name w:val="Intense Reference"/>
    <w:basedOn w:val="DefaultParagraphFont"/>
    <w:uiPriority w:val="32"/>
    <w:qFormat/>
    <w:rsid w:val="00C709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0b7d81-91c8-4c06-bdee-571ad0dfb2d4">
      <Terms xmlns="http://schemas.microsoft.com/office/infopath/2007/PartnerControls"/>
    </lcf76f155ced4ddcb4097134ff3c332f>
    <TaxCatchAll xmlns="d7116fc4-0d7a-4283-a67c-8144b6bdb2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7AE9D0CD60CE45B8BD74AFE13BFD9C" ma:contentTypeVersion="11" ma:contentTypeDescription="Een nieuw document maken." ma:contentTypeScope="" ma:versionID="b31a537781477203db6442e80105fb4b">
  <xsd:schema xmlns:xsd="http://www.w3.org/2001/XMLSchema" xmlns:xs="http://www.w3.org/2001/XMLSchema" xmlns:p="http://schemas.microsoft.com/office/2006/metadata/properties" xmlns:ns2="390b7d81-91c8-4c06-bdee-571ad0dfb2d4" xmlns:ns3="d7116fc4-0d7a-4283-a67c-8144b6bdb2ad" targetNamespace="http://schemas.microsoft.com/office/2006/metadata/properties" ma:root="true" ma:fieldsID="e77129d825887b90f4e4b736546c1596" ns2:_="" ns3:_="">
    <xsd:import namespace="390b7d81-91c8-4c06-bdee-571ad0dfb2d4"/>
    <xsd:import namespace="d7116fc4-0d7a-4283-a67c-8144b6bdb2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b7d81-91c8-4c06-bdee-571ad0df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63458cd-ce2d-47d3-a8fb-aba961f6e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16fc4-0d7a-4283-a67c-8144b6bdb2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4e2dd7-9634-4ed6-b2ad-4e0677a003e8}" ma:internalName="TaxCatchAll" ma:showField="CatchAllData" ma:web="d7116fc4-0d7a-4283-a67c-8144b6bdb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8C0C5-5ED9-4FAA-8DE0-E7B13556A04E}">
  <ds:schemaRefs>
    <ds:schemaRef ds:uri="http://schemas.microsoft.com/sharepoint/v3/contenttype/forms"/>
  </ds:schemaRefs>
</ds:datastoreItem>
</file>

<file path=customXml/itemProps2.xml><?xml version="1.0" encoding="utf-8"?>
<ds:datastoreItem xmlns:ds="http://schemas.openxmlformats.org/officeDocument/2006/customXml" ds:itemID="{BF0B06CC-A2CC-4291-857A-25CF9B8F9C66}">
  <ds:schemaRefs>
    <ds:schemaRef ds:uri="http://purl.org/dc/dcmitype/"/>
    <ds:schemaRef ds:uri="http://www.w3.org/XML/1998/namespace"/>
    <ds:schemaRef ds:uri="http://schemas.microsoft.com/office/2006/metadata/properties"/>
    <ds:schemaRef ds:uri="http://purl.org/dc/elements/1.1/"/>
    <ds:schemaRef ds:uri="d7116fc4-0d7a-4283-a67c-8144b6bdb2ad"/>
    <ds:schemaRef ds:uri="390b7d81-91c8-4c06-bdee-571ad0dfb2d4"/>
    <ds:schemaRef ds:uri="http://purl.org/dc/term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548A6C5-B864-4B91-B96C-15829A192D44}"/>
</file>

<file path=docProps/app.xml><?xml version="1.0" encoding="utf-8"?>
<Properties xmlns="http://schemas.openxmlformats.org/officeDocument/2006/extended-properties" xmlns:vt="http://schemas.openxmlformats.org/officeDocument/2006/docPropsVTypes">
  <Template>Normal</Template>
  <TotalTime>2</TotalTime>
  <Pages>4</Pages>
  <Words>1094</Words>
  <Characters>6242</Characters>
  <Application>Microsoft Office Word</Application>
  <DocSecurity>0</DocSecurity>
  <Lines>52</Lines>
  <Paragraphs>14</Paragraphs>
  <ScaleCrop>false</ScaleCrop>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Carlijn van der Ven</dc:creator>
  <cp:keywords/>
  <dc:description/>
  <cp:lastModifiedBy>Donna de Geest</cp:lastModifiedBy>
  <cp:revision>3</cp:revision>
  <dcterms:created xsi:type="dcterms:W3CDTF">2025-04-30T07:44:00Z</dcterms:created>
  <dcterms:modified xsi:type="dcterms:W3CDTF">2025-05-06T13:11:00Z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0x0101002C7AE9D0CD60CE45B8BD74AFE13BFD9C</vt:lpwstr>
  </property>
  <property fmtid="{D5CDD505-2E9C-101B-9397-08002B2CF9AE}" pid="3" name="MediaServiceImageTags">
    <vt:lpwstr/>
  </property>
</Properties>
</file>